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0BA" w:rsidRDefault="00F70B08" w:rsidP="00F70B08">
      <w:pPr>
        <w:jc w:val="center"/>
      </w:pPr>
      <w:r>
        <w:rPr>
          <w:noProof/>
          <w:lang w:eastAsia="en-GB"/>
        </w:rPr>
        <w:drawing>
          <wp:inline distT="0" distB="0" distL="0" distR="0" wp14:anchorId="7052022E" wp14:editId="152A8597">
            <wp:extent cx="1283732" cy="1026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73239" cy="1097708"/>
                    </a:xfrm>
                    <a:prstGeom prst="rect">
                      <a:avLst/>
                    </a:prstGeom>
                  </pic:spPr>
                </pic:pic>
              </a:graphicData>
            </a:graphic>
          </wp:inline>
        </w:drawing>
      </w:r>
    </w:p>
    <w:tbl>
      <w:tblPr>
        <w:tblStyle w:val="TableGrid"/>
        <w:tblpPr w:leftFromText="180" w:rightFromText="180" w:vertAnchor="text" w:horzAnchor="margin" w:tblpXSpec="center" w:tblpY="198"/>
        <w:tblW w:w="9533" w:type="dxa"/>
        <w:tblLook w:val="04A0" w:firstRow="1" w:lastRow="0" w:firstColumn="1" w:lastColumn="0" w:noHBand="0" w:noVBand="1"/>
      </w:tblPr>
      <w:tblGrid>
        <w:gridCol w:w="2532"/>
        <w:gridCol w:w="969"/>
        <w:gridCol w:w="6020"/>
        <w:gridCol w:w="12"/>
      </w:tblGrid>
      <w:tr w:rsidR="008C0343" w:rsidTr="00DF47ED">
        <w:tc>
          <w:tcPr>
            <w:tcW w:w="2532" w:type="dxa"/>
          </w:tcPr>
          <w:p w:rsidR="008C0343" w:rsidRPr="00506337" w:rsidRDefault="008C0343" w:rsidP="008C0343">
            <w:pPr>
              <w:rPr>
                <w:b/>
                <w:sz w:val="24"/>
                <w:szCs w:val="24"/>
              </w:rPr>
            </w:pPr>
            <w:r w:rsidRPr="00506337">
              <w:rPr>
                <w:b/>
                <w:sz w:val="24"/>
                <w:szCs w:val="24"/>
              </w:rPr>
              <w:t>Policy Title:</w:t>
            </w:r>
          </w:p>
        </w:tc>
        <w:tc>
          <w:tcPr>
            <w:tcW w:w="7001" w:type="dxa"/>
            <w:gridSpan w:val="3"/>
          </w:tcPr>
          <w:p w:rsidR="008C0343" w:rsidRPr="00506337" w:rsidRDefault="0008710C" w:rsidP="008C0343">
            <w:pPr>
              <w:rPr>
                <w:b/>
              </w:rPr>
            </w:pPr>
            <w:r w:rsidRPr="0008710C">
              <w:rPr>
                <w:b/>
              </w:rPr>
              <w:t>Equality, Diversity and Inclusion Policy</w:t>
            </w:r>
          </w:p>
        </w:tc>
      </w:tr>
      <w:tr w:rsidR="008C0343" w:rsidTr="00DF47ED">
        <w:tc>
          <w:tcPr>
            <w:tcW w:w="2532" w:type="dxa"/>
          </w:tcPr>
          <w:p w:rsidR="008C0343" w:rsidRPr="00506337" w:rsidRDefault="008C0343" w:rsidP="00D570E8">
            <w:pPr>
              <w:rPr>
                <w:b/>
                <w:sz w:val="24"/>
                <w:szCs w:val="24"/>
              </w:rPr>
            </w:pPr>
            <w:r w:rsidRPr="00506337">
              <w:rPr>
                <w:b/>
                <w:sz w:val="24"/>
                <w:szCs w:val="24"/>
              </w:rPr>
              <w:t xml:space="preserve">Policy </w:t>
            </w:r>
            <w:r w:rsidR="00D570E8" w:rsidRPr="00506337">
              <w:rPr>
                <w:b/>
                <w:sz w:val="24"/>
                <w:szCs w:val="24"/>
              </w:rPr>
              <w:t>Code</w:t>
            </w:r>
            <w:r w:rsidRPr="00506337">
              <w:rPr>
                <w:b/>
                <w:sz w:val="24"/>
                <w:szCs w:val="24"/>
              </w:rPr>
              <w:t>:</w:t>
            </w:r>
          </w:p>
        </w:tc>
        <w:tc>
          <w:tcPr>
            <w:tcW w:w="7001" w:type="dxa"/>
            <w:gridSpan w:val="3"/>
          </w:tcPr>
          <w:p w:rsidR="008C0343" w:rsidRPr="00506337" w:rsidRDefault="00DF47ED" w:rsidP="00DF47ED">
            <w:r>
              <w:t>HRP08</w:t>
            </w:r>
          </w:p>
        </w:tc>
      </w:tr>
      <w:tr w:rsidR="008C0343" w:rsidTr="00DF47ED">
        <w:tc>
          <w:tcPr>
            <w:tcW w:w="2532" w:type="dxa"/>
          </w:tcPr>
          <w:p w:rsidR="008C0343" w:rsidRPr="00506337" w:rsidRDefault="008C0343" w:rsidP="008C0343">
            <w:pPr>
              <w:rPr>
                <w:b/>
                <w:sz w:val="24"/>
                <w:szCs w:val="24"/>
              </w:rPr>
            </w:pPr>
            <w:r w:rsidRPr="00506337">
              <w:rPr>
                <w:b/>
                <w:sz w:val="24"/>
                <w:szCs w:val="24"/>
              </w:rPr>
              <w:t>Applies to:</w:t>
            </w:r>
          </w:p>
        </w:tc>
        <w:tc>
          <w:tcPr>
            <w:tcW w:w="7001" w:type="dxa"/>
            <w:gridSpan w:val="3"/>
          </w:tcPr>
          <w:p w:rsidR="008C0343" w:rsidRPr="00506337" w:rsidRDefault="0008710C" w:rsidP="008C0343">
            <w:r>
              <w:t xml:space="preserve">Group Wide </w:t>
            </w:r>
          </w:p>
        </w:tc>
      </w:tr>
      <w:tr w:rsidR="008C0343" w:rsidTr="00DF47ED">
        <w:tc>
          <w:tcPr>
            <w:tcW w:w="2532" w:type="dxa"/>
          </w:tcPr>
          <w:p w:rsidR="008C0343" w:rsidRPr="00506337" w:rsidRDefault="008C0343" w:rsidP="008C0343">
            <w:pPr>
              <w:rPr>
                <w:b/>
                <w:sz w:val="24"/>
                <w:szCs w:val="24"/>
              </w:rPr>
            </w:pPr>
            <w:r w:rsidRPr="00506337">
              <w:rPr>
                <w:b/>
                <w:sz w:val="24"/>
                <w:szCs w:val="24"/>
              </w:rPr>
              <w:t>Date Reviewed:</w:t>
            </w:r>
          </w:p>
        </w:tc>
        <w:tc>
          <w:tcPr>
            <w:tcW w:w="7001" w:type="dxa"/>
            <w:gridSpan w:val="3"/>
          </w:tcPr>
          <w:p w:rsidR="008C0343" w:rsidRPr="00506337" w:rsidRDefault="00CA787E" w:rsidP="008C0343">
            <w:r>
              <w:t xml:space="preserve">September </w:t>
            </w:r>
            <w:r w:rsidR="0008710C">
              <w:t>2023</w:t>
            </w:r>
          </w:p>
        </w:tc>
      </w:tr>
      <w:tr w:rsidR="008C0343" w:rsidTr="00DF47ED">
        <w:tc>
          <w:tcPr>
            <w:tcW w:w="2532" w:type="dxa"/>
          </w:tcPr>
          <w:p w:rsidR="008C0343" w:rsidRPr="00506337" w:rsidRDefault="008C0343" w:rsidP="008C0343">
            <w:pPr>
              <w:rPr>
                <w:b/>
                <w:sz w:val="24"/>
                <w:szCs w:val="24"/>
              </w:rPr>
            </w:pPr>
            <w:r w:rsidRPr="00506337">
              <w:rPr>
                <w:b/>
                <w:sz w:val="24"/>
                <w:szCs w:val="24"/>
              </w:rPr>
              <w:t>Next Update Due:</w:t>
            </w:r>
          </w:p>
        </w:tc>
        <w:tc>
          <w:tcPr>
            <w:tcW w:w="7001" w:type="dxa"/>
            <w:gridSpan w:val="3"/>
          </w:tcPr>
          <w:p w:rsidR="008C0343" w:rsidRPr="00506337" w:rsidRDefault="0008710C" w:rsidP="00CA787E">
            <w:r>
              <w:t>July 202</w:t>
            </w:r>
            <w:r w:rsidR="00CA787E">
              <w:t>5</w:t>
            </w:r>
          </w:p>
        </w:tc>
      </w:tr>
      <w:tr w:rsidR="008C0343" w:rsidTr="00DF47ED">
        <w:tc>
          <w:tcPr>
            <w:tcW w:w="2532" w:type="dxa"/>
          </w:tcPr>
          <w:p w:rsidR="008C0343" w:rsidRPr="00506337" w:rsidRDefault="008C0343" w:rsidP="00506337">
            <w:pPr>
              <w:rPr>
                <w:b/>
                <w:sz w:val="24"/>
                <w:szCs w:val="24"/>
              </w:rPr>
            </w:pPr>
            <w:r w:rsidRPr="00506337">
              <w:rPr>
                <w:b/>
                <w:sz w:val="24"/>
                <w:szCs w:val="24"/>
              </w:rPr>
              <w:t xml:space="preserve">Policy </w:t>
            </w:r>
            <w:r w:rsidR="00506337" w:rsidRPr="00506337">
              <w:rPr>
                <w:b/>
                <w:sz w:val="24"/>
                <w:szCs w:val="24"/>
              </w:rPr>
              <w:t>Lead</w:t>
            </w:r>
            <w:r w:rsidRPr="00506337">
              <w:rPr>
                <w:b/>
                <w:sz w:val="24"/>
                <w:szCs w:val="24"/>
              </w:rPr>
              <w:t>:</w:t>
            </w:r>
          </w:p>
        </w:tc>
        <w:tc>
          <w:tcPr>
            <w:tcW w:w="7001" w:type="dxa"/>
            <w:gridSpan w:val="3"/>
          </w:tcPr>
          <w:p w:rsidR="008C0343" w:rsidRPr="00506337" w:rsidRDefault="00D36891" w:rsidP="008C0343">
            <w:r>
              <w:t>Jo Sibson</w:t>
            </w:r>
            <w:r w:rsidR="002679F8">
              <w:t xml:space="preserve"> and Marie Leadbetter </w:t>
            </w:r>
          </w:p>
        </w:tc>
      </w:tr>
      <w:tr w:rsidR="00506337" w:rsidTr="00DF47ED">
        <w:tc>
          <w:tcPr>
            <w:tcW w:w="2532" w:type="dxa"/>
          </w:tcPr>
          <w:p w:rsidR="00506337" w:rsidRPr="00506337" w:rsidRDefault="00B576D4" w:rsidP="00506337">
            <w:pPr>
              <w:rPr>
                <w:b/>
                <w:sz w:val="24"/>
                <w:szCs w:val="24"/>
              </w:rPr>
            </w:pPr>
            <w:r>
              <w:rPr>
                <w:b/>
                <w:sz w:val="24"/>
                <w:szCs w:val="24"/>
              </w:rPr>
              <w:t>Policy Sponsor</w:t>
            </w:r>
            <w:r w:rsidR="00506337" w:rsidRPr="00506337">
              <w:rPr>
                <w:b/>
                <w:sz w:val="24"/>
                <w:szCs w:val="24"/>
              </w:rPr>
              <w:t>:</w:t>
            </w:r>
          </w:p>
        </w:tc>
        <w:tc>
          <w:tcPr>
            <w:tcW w:w="7001" w:type="dxa"/>
            <w:gridSpan w:val="3"/>
          </w:tcPr>
          <w:p w:rsidR="00506337" w:rsidRPr="00506337" w:rsidRDefault="00502B18" w:rsidP="008C0343">
            <w:r>
              <w:t>Jayne Carter</w:t>
            </w:r>
          </w:p>
        </w:tc>
      </w:tr>
      <w:tr w:rsidR="008C0343" w:rsidTr="00DF47ED">
        <w:trPr>
          <w:gridAfter w:val="1"/>
          <w:wAfter w:w="12" w:type="dxa"/>
          <w:trHeight w:val="281"/>
        </w:trPr>
        <w:tc>
          <w:tcPr>
            <w:tcW w:w="2532" w:type="dxa"/>
            <w:vMerge w:val="restart"/>
          </w:tcPr>
          <w:p w:rsidR="008C0343" w:rsidRPr="00506337" w:rsidRDefault="008C0343" w:rsidP="008C0343">
            <w:pPr>
              <w:rPr>
                <w:sz w:val="24"/>
                <w:szCs w:val="24"/>
              </w:rPr>
            </w:pPr>
          </w:p>
        </w:tc>
        <w:tc>
          <w:tcPr>
            <w:tcW w:w="969" w:type="dxa"/>
          </w:tcPr>
          <w:p w:rsidR="008C0343" w:rsidRPr="00506337" w:rsidRDefault="008C0343" w:rsidP="008C0343"/>
        </w:tc>
        <w:tc>
          <w:tcPr>
            <w:tcW w:w="6020" w:type="dxa"/>
          </w:tcPr>
          <w:p w:rsidR="008C0343" w:rsidRPr="00EE6425" w:rsidRDefault="00EE6425" w:rsidP="00DF47ED">
            <w:pPr>
              <w:pStyle w:val="NoSpacing"/>
            </w:pPr>
            <w:r w:rsidRPr="00EE6425">
              <w:t>Employee Handbook</w:t>
            </w:r>
          </w:p>
        </w:tc>
      </w:tr>
      <w:tr w:rsidR="008C0343" w:rsidTr="00DF47ED">
        <w:trPr>
          <w:gridAfter w:val="1"/>
          <w:wAfter w:w="12" w:type="dxa"/>
        </w:trPr>
        <w:tc>
          <w:tcPr>
            <w:tcW w:w="2532" w:type="dxa"/>
            <w:vMerge/>
          </w:tcPr>
          <w:p w:rsidR="008C0343" w:rsidRPr="00506337" w:rsidRDefault="008C0343" w:rsidP="008C0343">
            <w:pPr>
              <w:rPr>
                <w:sz w:val="24"/>
                <w:szCs w:val="24"/>
              </w:rPr>
            </w:pPr>
          </w:p>
        </w:tc>
        <w:tc>
          <w:tcPr>
            <w:tcW w:w="969" w:type="dxa"/>
          </w:tcPr>
          <w:p w:rsidR="008C0343" w:rsidRPr="00506337" w:rsidRDefault="00DF47ED" w:rsidP="008C0343">
            <w:r>
              <w:t>HRP03</w:t>
            </w:r>
          </w:p>
        </w:tc>
        <w:tc>
          <w:tcPr>
            <w:tcW w:w="6020" w:type="dxa"/>
          </w:tcPr>
          <w:p w:rsidR="008C0343" w:rsidRPr="00506337" w:rsidRDefault="00EE6425" w:rsidP="008C0343">
            <w:r>
              <w:t>Code of conduct</w:t>
            </w:r>
          </w:p>
        </w:tc>
      </w:tr>
      <w:tr w:rsidR="002679F8" w:rsidTr="00DF47ED">
        <w:trPr>
          <w:gridAfter w:val="1"/>
          <w:wAfter w:w="12" w:type="dxa"/>
        </w:trPr>
        <w:tc>
          <w:tcPr>
            <w:tcW w:w="2532" w:type="dxa"/>
            <w:vMerge/>
          </w:tcPr>
          <w:p w:rsidR="002679F8" w:rsidRPr="00506337" w:rsidRDefault="002679F8" w:rsidP="008C0343">
            <w:pPr>
              <w:rPr>
                <w:sz w:val="24"/>
                <w:szCs w:val="24"/>
              </w:rPr>
            </w:pPr>
          </w:p>
        </w:tc>
        <w:tc>
          <w:tcPr>
            <w:tcW w:w="969" w:type="dxa"/>
          </w:tcPr>
          <w:p w:rsidR="002679F8" w:rsidRPr="00506337" w:rsidRDefault="00DF47ED" w:rsidP="00DF47ED">
            <w:r>
              <w:t>HR</w:t>
            </w:r>
            <w:r w:rsidR="002679F8">
              <w:t xml:space="preserve">P10 </w:t>
            </w:r>
          </w:p>
        </w:tc>
        <w:tc>
          <w:tcPr>
            <w:tcW w:w="6020" w:type="dxa"/>
          </w:tcPr>
          <w:p w:rsidR="002679F8" w:rsidRDefault="002679F8" w:rsidP="008C0343">
            <w:r>
              <w:t xml:space="preserve">Grievance Policy </w:t>
            </w:r>
          </w:p>
        </w:tc>
      </w:tr>
      <w:tr w:rsidR="008C0343" w:rsidTr="00DF47ED">
        <w:trPr>
          <w:gridAfter w:val="1"/>
          <w:wAfter w:w="12" w:type="dxa"/>
        </w:trPr>
        <w:tc>
          <w:tcPr>
            <w:tcW w:w="2532" w:type="dxa"/>
            <w:vMerge/>
          </w:tcPr>
          <w:p w:rsidR="008C0343" w:rsidRPr="00506337" w:rsidRDefault="008C0343" w:rsidP="008C0343">
            <w:pPr>
              <w:rPr>
                <w:sz w:val="24"/>
                <w:szCs w:val="24"/>
              </w:rPr>
            </w:pPr>
          </w:p>
        </w:tc>
        <w:tc>
          <w:tcPr>
            <w:tcW w:w="969" w:type="dxa"/>
          </w:tcPr>
          <w:p w:rsidR="008C0343" w:rsidRPr="00506337" w:rsidRDefault="00DF47ED" w:rsidP="008C0343">
            <w:r>
              <w:rPr>
                <w:color w:val="000000"/>
                <w:lang w:eastAsia="en-GB"/>
              </w:rPr>
              <w:t>HRP05</w:t>
            </w:r>
          </w:p>
        </w:tc>
        <w:tc>
          <w:tcPr>
            <w:tcW w:w="6020" w:type="dxa"/>
          </w:tcPr>
          <w:p w:rsidR="008C0343" w:rsidRPr="00506337" w:rsidRDefault="00EE6425" w:rsidP="00220EB6">
            <w:r>
              <w:t xml:space="preserve">Disciplinary </w:t>
            </w:r>
            <w:r w:rsidR="00220EB6">
              <w:t>P</w:t>
            </w:r>
            <w:r>
              <w:t>olicy</w:t>
            </w:r>
          </w:p>
        </w:tc>
      </w:tr>
      <w:tr w:rsidR="008C0343" w:rsidTr="00DF47ED">
        <w:trPr>
          <w:gridAfter w:val="1"/>
          <w:wAfter w:w="12" w:type="dxa"/>
        </w:trPr>
        <w:tc>
          <w:tcPr>
            <w:tcW w:w="2532" w:type="dxa"/>
            <w:vMerge/>
          </w:tcPr>
          <w:p w:rsidR="008C0343" w:rsidRPr="00506337" w:rsidRDefault="008C0343" w:rsidP="008C0343">
            <w:pPr>
              <w:rPr>
                <w:sz w:val="24"/>
                <w:szCs w:val="24"/>
              </w:rPr>
            </w:pPr>
          </w:p>
        </w:tc>
        <w:tc>
          <w:tcPr>
            <w:tcW w:w="969" w:type="dxa"/>
          </w:tcPr>
          <w:p w:rsidR="008C0343" w:rsidRPr="00506337" w:rsidRDefault="00DF47ED" w:rsidP="00DF47ED">
            <w:r>
              <w:t>HRP24</w:t>
            </w:r>
          </w:p>
        </w:tc>
        <w:tc>
          <w:tcPr>
            <w:tcW w:w="6020" w:type="dxa"/>
          </w:tcPr>
          <w:p w:rsidR="008C0343" w:rsidRPr="00506337" w:rsidRDefault="00EE6425" w:rsidP="00220EB6">
            <w:r>
              <w:t xml:space="preserve">Whistleblowing </w:t>
            </w:r>
            <w:r w:rsidR="00220EB6">
              <w:t>P</w:t>
            </w:r>
            <w:r>
              <w:t>olicy</w:t>
            </w:r>
          </w:p>
        </w:tc>
      </w:tr>
      <w:tr w:rsidR="008C0343" w:rsidTr="00DF47ED">
        <w:trPr>
          <w:gridAfter w:val="1"/>
          <w:wAfter w:w="12" w:type="dxa"/>
        </w:trPr>
        <w:tc>
          <w:tcPr>
            <w:tcW w:w="2532" w:type="dxa"/>
            <w:vMerge/>
          </w:tcPr>
          <w:p w:rsidR="008C0343" w:rsidRPr="00506337" w:rsidRDefault="008C0343" w:rsidP="008C0343">
            <w:pPr>
              <w:rPr>
                <w:sz w:val="24"/>
                <w:szCs w:val="24"/>
              </w:rPr>
            </w:pPr>
          </w:p>
        </w:tc>
        <w:tc>
          <w:tcPr>
            <w:tcW w:w="969" w:type="dxa"/>
          </w:tcPr>
          <w:p w:rsidR="008C0343" w:rsidRPr="00506337" w:rsidRDefault="008C0343" w:rsidP="008C0343"/>
        </w:tc>
        <w:tc>
          <w:tcPr>
            <w:tcW w:w="6020" w:type="dxa"/>
          </w:tcPr>
          <w:p w:rsidR="008C0343" w:rsidRPr="00506337" w:rsidRDefault="008C0343" w:rsidP="008C0343"/>
        </w:tc>
      </w:tr>
      <w:tr w:rsidR="008C0343" w:rsidTr="00DF47ED">
        <w:trPr>
          <w:gridAfter w:val="1"/>
          <w:wAfter w:w="12" w:type="dxa"/>
        </w:trPr>
        <w:tc>
          <w:tcPr>
            <w:tcW w:w="2532" w:type="dxa"/>
            <w:vMerge/>
          </w:tcPr>
          <w:p w:rsidR="008C0343" w:rsidRPr="00506337" w:rsidRDefault="008C0343" w:rsidP="008C0343">
            <w:pPr>
              <w:rPr>
                <w:sz w:val="24"/>
                <w:szCs w:val="24"/>
              </w:rPr>
            </w:pPr>
          </w:p>
        </w:tc>
        <w:tc>
          <w:tcPr>
            <w:tcW w:w="969" w:type="dxa"/>
          </w:tcPr>
          <w:p w:rsidR="008C0343" w:rsidRPr="00506337" w:rsidRDefault="008C0343" w:rsidP="008C0343"/>
        </w:tc>
        <w:tc>
          <w:tcPr>
            <w:tcW w:w="6020" w:type="dxa"/>
          </w:tcPr>
          <w:p w:rsidR="008C0343" w:rsidRPr="00506337" w:rsidRDefault="008C0343" w:rsidP="008C0343"/>
        </w:tc>
      </w:tr>
      <w:tr w:rsidR="008C0343" w:rsidTr="00DF47ED">
        <w:trPr>
          <w:gridAfter w:val="1"/>
          <w:wAfter w:w="12" w:type="dxa"/>
        </w:trPr>
        <w:tc>
          <w:tcPr>
            <w:tcW w:w="2532" w:type="dxa"/>
            <w:vMerge/>
          </w:tcPr>
          <w:p w:rsidR="008C0343" w:rsidRPr="00506337" w:rsidRDefault="008C0343" w:rsidP="008C0343">
            <w:pPr>
              <w:rPr>
                <w:sz w:val="24"/>
                <w:szCs w:val="24"/>
              </w:rPr>
            </w:pPr>
          </w:p>
        </w:tc>
        <w:tc>
          <w:tcPr>
            <w:tcW w:w="969" w:type="dxa"/>
          </w:tcPr>
          <w:p w:rsidR="008C0343" w:rsidRPr="00506337" w:rsidRDefault="008C0343" w:rsidP="008C0343"/>
        </w:tc>
        <w:tc>
          <w:tcPr>
            <w:tcW w:w="6020" w:type="dxa"/>
          </w:tcPr>
          <w:p w:rsidR="008C0343" w:rsidRPr="00506337" w:rsidRDefault="008C0343" w:rsidP="008C0343"/>
        </w:tc>
      </w:tr>
      <w:tr w:rsidR="008C0343" w:rsidTr="00DF47ED">
        <w:trPr>
          <w:trHeight w:val="1661"/>
        </w:trPr>
        <w:tc>
          <w:tcPr>
            <w:tcW w:w="2532" w:type="dxa"/>
          </w:tcPr>
          <w:p w:rsidR="008C0343" w:rsidRPr="00506337" w:rsidRDefault="008C0343" w:rsidP="008C0343">
            <w:pPr>
              <w:rPr>
                <w:b/>
                <w:sz w:val="24"/>
                <w:szCs w:val="24"/>
              </w:rPr>
            </w:pPr>
            <w:r w:rsidRPr="00506337">
              <w:rPr>
                <w:b/>
                <w:sz w:val="24"/>
                <w:szCs w:val="24"/>
              </w:rPr>
              <w:t>Outcome:</w:t>
            </w:r>
          </w:p>
        </w:tc>
        <w:tc>
          <w:tcPr>
            <w:tcW w:w="7001" w:type="dxa"/>
            <w:gridSpan w:val="3"/>
          </w:tcPr>
          <w:p w:rsidR="008C0343" w:rsidRPr="00506337" w:rsidRDefault="008C0343" w:rsidP="008C0343">
            <w:r w:rsidRPr="00506337">
              <w:t>This policy</w:t>
            </w:r>
            <w:r w:rsidR="002538FC">
              <w:t xml:space="preserve"> aims to</w:t>
            </w:r>
            <w:r w:rsidRPr="00506337">
              <w:t>:</w:t>
            </w:r>
          </w:p>
          <w:p w:rsidR="00EE6425" w:rsidRPr="00A95C34" w:rsidRDefault="00EE6425" w:rsidP="00EE6425">
            <w:pPr>
              <w:pStyle w:val="ListParagraph"/>
              <w:numPr>
                <w:ilvl w:val="0"/>
                <w:numId w:val="5"/>
              </w:numPr>
            </w:pPr>
            <w:r>
              <w:rPr>
                <w:rFonts w:cs="Tahoma"/>
              </w:rPr>
              <w:t>Outline Witherslack Group’s commitment to ensuring all employees are treated equally</w:t>
            </w:r>
            <w:r w:rsidR="00A95C34">
              <w:rPr>
                <w:rFonts w:cs="Tahoma"/>
              </w:rPr>
              <w:t xml:space="preserve"> and how this is monitored </w:t>
            </w:r>
          </w:p>
          <w:p w:rsidR="00A95C34" w:rsidRPr="00506337" w:rsidRDefault="00A95C34" w:rsidP="00EE6425">
            <w:pPr>
              <w:pStyle w:val="ListParagraph"/>
              <w:numPr>
                <w:ilvl w:val="0"/>
                <w:numId w:val="5"/>
              </w:numPr>
            </w:pPr>
            <w:r>
              <w:rPr>
                <w:rFonts w:cs="Tahoma"/>
              </w:rPr>
              <w:t>Highlight what someone needs to do should they feel they are not being treated in the line with the policy</w:t>
            </w:r>
          </w:p>
        </w:tc>
      </w:tr>
      <w:tr w:rsidR="008C0343" w:rsidTr="00DF47ED">
        <w:tc>
          <w:tcPr>
            <w:tcW w:w="9533" w:type="dxa"/>
            <w:gridSpan w:val="4"/>
          </w:tcPr>
          <w:p w:rsidR="008C0343" w:rsidRPr="00BD7E93" w:rsidRDefault="008C0343" w:rsidP="008C0343">
            <w:pPr>
              <w:jc w:val="center"/>
              <w:rPr>
                <w:b/>
              </w:rPr>
            </w:pPr>
            <w:r w:rsidRPr="00BD7E93">
              <w:rPr>
                <w:b/>
              </w:rPr>
              <w:t>EQUALITY AND DIVERSITY STATEMENT</w:t>
            </w:r>
          </w:p>
          <w:p w:rsidR="008C0343" w:rsidRDefault="008C0343" w:rsidP="008C0343">
            <w:pPr>
              <w:jc w:val="center"/>
            </w:pPr>
            <w:r>
              <w:t>Witherslack Group is committed to the fair treatment of all in line with the Equality Act 2010. An equality impact assessment has been completed on this policy to ensure that it can be implemented consistently regardless of any protected characteristics and all will be treated with dignity and respect.</w:t>
            </w:r>
          </w:p>
        </w:tc>
      </w:tr>
      <w:tr w:rsidR="009F0A11" w:rsidTr="00DF47ED">
        <w:tc>
          <w:tcPr>
            <w:tcW w:w="9533" w:type="dxa"/>
            <w:gridSpan w:val="4"/>
          </w:tcPr>
          <w:p w:rsidR="009F0A11" w:rsidRDefault="009F0A11" w:rsidP="008C0343">
            <w:pPr>
              <w:jc w:val="center"/>
              <w:rPr>
                <w:b/>
              </w:rPr>
            </w:pPr>
            <w:r>
              <w:rPr>
                <w:b/>
              </w:rPr>
              <w:t>ENVIRONMENT, SOCIAL, GOVERNANCE (ESG) STATEMENT</w:t>
            </w:r>
          </w:p>
          <w:p w:rsidR="009F0A11" w:rsidRPr="009F0A11" w:rsidRDefault="009F0A11" w:rsidP="00F130F6">
            <w:pPr>
              <w:jc w:val="center"/>
            </w:pPr>
            <w:r w:rsidRPr="009F0A11">
              <w:t xml:space="preserve">Witherslack Group is committed </w:t>
            </w:r>
            <w:r w:rsidR="00F130F6">
              <w:t>to responsible business practices in the areas of: Environmental Stewardship, Social Responsibility, Governance, Ethics &amp; Compliance.  An ESG impact assessment has been completed on this policy to ensure it can be implemented successfully without adverse implications on our Group goals.</w:t>
            </w:r>
          </w:p>
        </w:tc>
      </w:tr>
      <w:tr w:rsidR="008C0343" w:rsidTr="00DF47ED">
        <w:tc>
          <w:tcPr>
            <w:tcW w:w="9533" w:type="dxa"/>
            <w:gridSpan w:val="4"/>
          </w:tcPr>
          <w:p w:rsidR="008C0343" w:rsidRPr="00C97D62" w:rsidRDefault="00A33B77" w:rsidP="00506337">
            <w:pPr>
              <w:jc w:val="center"/>
            </w:pPr>
            <w:r>
              <w:t>T</w:t>
            </w:r>
            <w:r w:rsidR="008C0343" w:rsidRPr="00C97D62">
              <w:t>o ensure that this policy is relevant and up to date, comments and suggestions for additions or amendments are sought from users of this document. To contribute towards the process of review, pl</w:t>
            </w:r>
            <w:r w:rsidR="00506337">
              <w:t>ease email the named policy lead</w:t>
            </w:r>
            <w:r w:rsidR="008C0343" w:rsidRPr="00C97D62">
              <w:t>.</w:t>
            </w:r>
          </w:p>
        </w:tc>
      </w:tr>
    </w:tbl>
    <w:p w:rsidR="00632BAB" w:rsidRDefault="00632BAB" w:rsidP="00C570BA"/>
    <w:p w:rsidR="00C97D62" w:rsidRDefault="00C97D62" w:rsidP="00C570BA"/>
    <w:p w:rsidR="00C97D62" w:rsidRDefault="00C97D62" w:rsidP="00C570BA"/>
    <w:p w:rsidR="0004035E" w:rsidRDefault="0004035E" w:rsidP="00DC0DBF"/>
    <w:p w:rsidR="00D570E8" w:rsidRDefault="00D570E8" w:rsidP="00DC0DBF"/>
    <w:p w:rsidR="00DC0DBF" w:rsidRDefault="00DC0DBF" w:rsidP="00DC0DBF"/>
    <w:p w:rsidR="00EE6425" w:rsidRDefault="00EE6425" w:rsidP="00DC0DBF"/>
    <w:tbl>
      <w:tblPr>
        <w:tblStyle w:val="TableGrid"/>
        <w:tblW w:w="1029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9781"/>
      </w:tblGrid>
      <w:tr w:rsidR="00DC0DBF" w:rsidRPr="00EE6425" w:rsidTr="00F81C57">
        <w:tc>
          <w:tcPr>
            <w:tcW w:w="511" w:type="dxa"/>
          </w:tcPr>
          <w:p w:rsidR="00DC0DBF" w:rsidRPr="00EE6425" w:rsidRDefault="00DC0DBF" w:rsidP="00DC0DBF">
            <w:pPr>
              <w:rPr>
                <w:rFonts w:asciiTheme="majorHAnsi" w:hAnsiTheme="majorHAnsi" w:cstheme="majorHAnsi"/>
                <w:sz w:val="24"/>
                <w:szCs w:val="24"/>
              </w:rPr>
            </w:pPr>
          </w:p>
        </w:tc>
        <w:tc>
          <w:tcPr>
            <w:tcW w:w="9781" w:type="dxa"/>
          </w:tcPr>
          <w:p w:rsidR="00DC0DBF" w:rsidRPr="00EE6425" w:rsidRDefault="00DC0DBF" w:rsidP="00DC0DBF">
            <w:pPr>
              <w:jc w:val="both"/>
              <w:rPr>
                <w:rFonts w:asciiTheme="majorHAnsi" w:hAnsiTheme="majorHAnsi" w:cstheme="majorHAnsi"/>
                <w:b/>
                <w:sz w:val="24"/>
                <w:szCs w:val="24"/>
              </w:rPr>
            </w:pPr>
            <w:r w:rsidRPr="00EE6425">
              <w:rPr>
                <w:rFonts w:asciiTheme="majorHAnsi" w:hAnsiTheme="majorHAnsi" w:cstheme="majorHAnsi"/>
                <w:b/>
                <w:sz w:val="24"/>
                <w:szCs w:val="24"/>
              </w:rPr>
              <w:t>CONTENTS</w:t>
            </w:r>
          </w:p>
        </w:tc>
      </w:tr>
      <w:tr w:rsidR="00DC0DBF" w:rsidRPr="00EE6425" w:rsidTr="00F81C57">
        <w:tc>
          <w:tcPr>
            <w:tcW w:w="511" w:type="dxa"/>
          </w:tcPr>
          <w:p w:rsidR="00DC0DBF" w:rsidRPr="00EE6425" w:rsidRDefault="00DC0DBF" w:rsidP="00DC0DBF">
            <w:pPr>
              <w:rPr>
                <w:rFonts w:asciiTheme="majorHAnsi" w:hAnsiTheme="majorHAnsi" w:cstheme="majorHAnsi"/>
                <w:b/>
                <w:sz w:val="24"/>
                <w:szCs w:val="24"/>
              </w:rPr>
            </w:pPr>
            <w:r w:rsidRPr="00EE6425">
              <w:rPr>
                <w:rFonts w:asciiTheme="majorHAnsi" w:hAnsiTheme="majorHAnsi" w:cstheme="majorHAnsi"/>
                <w:b/>
                <w:sz w:val="24"/>
                <w:szCs w:val="24"/>
              </w:rPr>
              <w:t>1</w:t>
            </w:r>
            <w:r w:rsidR="00DF47ED">
              <w:rPr>
                <w:rFonts w:asciiTheme="majorHAnsi" w:hAnsiTheme="majorHAnsi" w:cstheme="majorHAnsi"/>
                <w:b/>
                <w:sz w:val="24"/>
                <w:szCs w:val="24"/>
              </w:rPr>
              <w:t>.</w:t>
            </w:r>
          </w:p>
        </w:tc>
        <w:tc>
          <w:tcPr>
            <w:tcW w:w="9781" w:type="dxa"/>
          </w:tcPr>
          <w:p w:rsidR="00DC0DBF" w:rsidRPr="00DF47ED" w:rsidRDefault="00DF47ED" w:rsidP="00DC0DBF">
            <w:pPr>
              <w:jc w:val="both"/>
              <w:rPr>
                <w:rFonts w:asciiTheme="majorHAnsi" w:hAnsiTheme="majorHAnsi" w:cstheme="majorHAnsi"/>
                <w:sz w:val="24"/>
                <w:szCs w:val="24"/>
              </w:rPr>
            </w:pPr>
            <w:r w:rsidRPr="00DF47ED">
              <w:rPr>
                <w:rFonts w:asciiTheme="majorHAnsi" w:hAnsiTheme="majorHAnsi" w:cstheme="majorHAnsi"/>
                <w:sz w:val="24"/>
                <w:szCs w:val="24"/>
              </w:rPr>
              <w:t>INTRODUCTION</w:t>
            </w:r>
          </w:p>
        </w:tc>
      </w:tr>
      <w:tr w:rsidR="000E0801" w:rsidRPr="00EE6425" w:rsidTr="00F81C57">
        <w:tc>
          <w:tcPr>
            <w:tcW w:w="511" w:type="dxa"/>
          </w:tcPr>
          <w:p w:rsidR="000E0801" w:rsidRPr="00EE6425" w:rsidRDefault="000E0801" w:rsidP="000E0801">
            <w:pPr>
              <w:rPr>
                <w:rFonts w:asciiTheme="majorHAnsi" w:hAnsiTheme="majorHAnsi" w:cstheme="majorHAnsi"/>
                <w:b/>
                <w:sz w:val="24"/>
                <w:szCs w:val="24"/>
              </w:rPr>
            </w:pPr>
            <w:r w:rsidRPr="00EE6425">
              <w:rPr>
                <w:rFonts w:asciiTheme="majorHAnsi" w:hAnsiTheme="majorHAnsi" w:cstheme="majorHAnsi"/>
                <w:b/>
                <w:sz w:val="24"/>
                <w:szCs w:val="24"/>
              </w:rPr>
              <w:t>2</w:t>
            </w:r>
            <w:r w:rsidR="00DF47ED">
              <w:rPr>
                <w:rFonts w:asciiTheme="majorHAnsi" w:hAnsiTheme="majorHAnsi" w:cstheme="majorHAnsi"/>
                <w:b/>
                <w:sz w:val="24"/>
                <w:szCs w:val="24"/>
              </w:rPr>
              <w:t>.</w:t>
            </w:r>
          </w:p>
        </w:tc>
        <w:tc>
          <w:tcPr>
            <w:tcW w:w="9781" w:type="dxa"/>
          </w:tcPr>
          <w:p w:rsidR="000E0801" w:rsidRPr="00DF47ED" w:rsidRDefault="00DF47ED" w:rsidP="000E0801">
            <w:pPr>
              <w:rPr>
                <w:rFonts w:asciiTheme="majorHAnsi" w:hAnsiTheme="majorHAnsi" w:cstheme="majorHAnsi"/>
              </w:rPr>
            </w:pPr>
            <w:r w:rsidRPr="00DF47ED">
              <w:rPr>
                <w:rFonts w:asciiTheme="majorHAnsi" w:hAnsiTheme="majorHAnsi" w:cstheme="majorHAnsi"/>
                <w:sz w:val="24"/>
                <w:szCs w:val="24"/>
              </w:rPr>
              <w:t>OUR RESPONSIBILITY</w:t>
            </w:r>
          </w:p>
        </w:tc>
      </w:tr>
      <w:tr w:rsidR="00331D56" w:rsidRPr="00EE6425" w:rsidTr="00F81C57">
        <w:tc>
          <w:tcPr>
            <w:tcW w:w="511" w:type="dxa"/>
          </w:tcPr>
          <w:p w:rsidR="00331D56" w:rsidRPr="00EE6425" w:rsidRDefault="00331D56" w:rsidP="000E0801">
            <w:pPr>
              <w:rPr>
                <w:rFonts w:asciiTheme="majorHAnsi" w:hAnsiTheme="majorHAnsi" w:cstheme="majorHAnsi"/>
                <w:b/>
                <w:sz w:val="24"/>
                <w:szCs w:val="24"/>
              </w:rPr>
            </w:pPr>
            <w:r>
              <w:rPr>
                <w:rFonts w:asciiTheme="majorHAnsi" w:hAnsiTheme="majorHAnsi" w:cstheme="majorHAnsi"/>
                <w:b/>
                <w:sz w:val="24"/>
                <w:szCs w:val="24"/>
              </w:rPr>
              <w:t>3</w:t>
            </w:r>
            <w:r w:rsidR="00DF47ED">
              <w:rPr>
                <w:rFonts w:asciiTheme="majorHAnsi" w:hAnsiTheme="majorHAnsi" w:cstheme="majorHAnsi"/>
                <w:b/>
                <w:sz w:val="24"/>
                <w:szCs w:val="24"/>
              </w:rPr>
              <w:t>.</w:t>
            </w:r>
          </w:p>
        </w:tc>
        <w:tc>
          <w:tcPr>
            <w:tcW w:w="9781" w:type="dxa"/>
          </w:tcPr>
          <w:p w:rsidR="00331D56" w:rsidRPr="00DF47ED" w:rsidRDefault="00DF47ED" w:rsidP="000E0801">
            <w:pPr>
              <w:rPr>
                <w:rFonts w:asciiTheme="majorHAnsi" w:hAnsiTheme="majorHAnsi" w:cstheme="majorHAnsi"/>
                <w:sz w:val="24"/>
                <w:szCs w:val="24"/>
              </w:rPr>
            </w:pPr>
            <w:r w:rsidRPr="00DF47ED">
              <w:rPr>
                <w:rFonts w:asciiTheme="majorHAnsi" w:hAnsiTheme="majorHAnsi" w:cstheme="majorHAnsi"/>
                <w:sz w:val="24"/>
                <w:szCs w:val="24"/>
              </w:rPr>
              <w:t>REFERENCES</w:t>
            </w:r>
          </w:p>
        </w:tc>
      </w:tr>
      <w:tr w:rsidR="00331D56" w:rsidRPr="00EE6425" w:rsidTr="00F81C57">
        <w:tc>
          <w:tcPr>
            <w:tcW w:w="511" w:type="dxa"/>
          </w:tcPr>
          <w:p w:rsidR="00331D56" w:rsidRDefault="00331D56" w:rsidP="000E0801">
            <w:pPr>
              <w:rPr>
                <w:rFonts w:asciiTheme="majorHAnsi" w:hAnsiTheme="majorHAnsi" w:cstheme="majorHAnsi"/>
                <w:b/>
                <w:sz w:val="24"/>
                <w:szCs w:val="24"/>
              </w:rPr>
            </w:pPr>
            <w:r>
              <w:rPr>
                <w:rFonts w:asciiTheme="majorHAnsi" w:hAnsiTheme="majorHAnsi" w:cstheme="majorHAnsi"/>
                <w:b/>
                <w:sz w:val="24"/>
                <w:szCs w:val="24"/>
              </w:rPr>
              <w:t>4</w:t>
            </w:r>
            <w:r w:rsidR="00DF47ED">
              <w:rPr>
                <w:rFonts w:asciiTheme="majorHAnsi" w:hAnsiTheme="majorHAnsi" w:cstheme="majorHAnsi"/>
                <w:b/>
                <w:sz w:val="24"/>
                <w:szCs w:val="24"/>
              </w:rPr>
              <w:t>.</w:t>
            </w:r>
          </w:p>
        </w:tc>
        <w:tc>
          <w:tcPr>
            <w:tcW w:w="9781" w:type="dxa"/>
          </w:tcPr>
          <w:p w:rsidR="00331D56" w:rsidRPr="00DF47ED" w:rsidRDefault="00DF47ED" w:rsidP="00331D56">
            <w:pPr>
              <w:rPr>
                <w:rFonts w:asciiTheme="majorHAnsi" w:hAnsiTheme="majorHAnsi" w:cstheme="majorHAnsi"/>
                <w:sz w:val="24"/>
                <w:szCs w:val="24"/>
              </w:rPr>
            </w:pPr>
            <w:r w:rsidRPr="00DF47ED">
              <w:rPr>
                <w:rFonts w:asciiTheme="majorHAnsi" w:hAnsiTheme="majorHAnsi" w:cstheme="majorHAnsi"/>
                <w:sz w:val="24"/>
                <w:szCs w:val="24"/>
              </w:rPr>
              <w:t>ASSOCIATED FORMS</w:t>
            </w:r>
          </w:p>
        </w:tc>
      </w:tr>
      <w:tr w:rsidR="00331D56" w:rsidRPr="00EE6425" w:rsidTr="00F81C57">
        <w:tc>
          <w:tcPr>
            <w:tcW w:w="511" w:type="dxa"/>
          </w:tcPr>
          <w:p w:rsidR="00331D56" w:rsidRDefault="00331D56" w:rsidP="000E0801">
            <w:pPr>
              <w:rPr>
                <w:rFonts w:asciiTheme="majorHAnsi" w:hAnsiTheme="majorHAnsi" w:cstheme="majorHAnsi"/>
                <w:b/>
                <w:sz w:val="24"/>
                <w:szCs w:val="24"/>
              </w:rPr>
            </w:pPr>
            <w:r>
              <w:rPr>
                <w:rFonts w:asciiTheme="majorHAnsi" w:hAnsiTheme="majorHAnsi" w:cstheme="majorHAnsi"/>
                <w:b/>
                <w:sz w:val="24"/>
                <w:szCs w:val="24"/>
              </w:rPr>
              <w:t>5</w:t>
            </w:r>
            <w:r w:rsidR="00DF47ED">
              <w:rPr>
                <w:rFonts w:asciiTheme="majorHAnsi" w:hAnsiTheme="majorHAnsi" w:cstheme="majorHAnsi"/>
                <w:b/>
                <w:sz w:val="24"/>
                <w:szCs w:val="24"/>
              </w:rPr>
              <w:t>.</w:t>
            </w:r>
          </w:p>
        </w:tc>
        <w:tc>
          <w:tcPr>
            <w:tcW w:w="9781" w:type="dxa"/>
          </w:tcPr>
          <w:p w:rsidR="00331D56" w:rsidRPr="00DF47ED" w:rsidRDefault="00DF47ED" w:rsidP="00331D56">
            <w:pPr>
              <w:rPr>
                <w:rFonts w:asciiTheme="majorHAnsi" w:hAnsiTheme="majorHAnsi" w:cstheme="majorHAnsi"/>
                <w:sz w:val="24"/>
                <w:szCs w:val="24"/>
              </w:rPr>
            </w:pPr>
            <w:r w:rsidRPr="00DF47ED">
              <w:rPr>
                <w:rFonts w:asciiTheme="majorHAnsi" w:hAnsiTheme="majorHAnsi" w:cstheme="majorHAnsi"/>
                <w:sz w:val="24"/>
                <w:szCs w:val="24"/>
              </w:rPr>
              <w:t>APPENDICES</w:t>
            </w:r>
          </w:p>
        </w:tc>
      </w:tr>
    </w:tbl>
    <w:p w:rsidR="00155C88" w:rsidRPr="00EE6425" w:rsidRDefault="00155C88" w:rsidP="00155C88">
      <w:pPr>
        <w:rPr>
          <w:rFonts w:asciiTheme="majorHAnsi" w:hAnsiTheme="majorHAnsi" w:cstheme="majorHAnsi"/>
        </w:rPr>
      </w:pPr>
      <w:r w:rsidRPr="00EE6425">
        <w:rPr>
          <w:rFonts w:asciiTheme="majorHAnsi" w:hAnsiTheme="majorHAnsi" w:cstheme="majorHAnsi"/>
        </w:rPr>
        <w:tab/>
      </w:r>
      <w:r w:rsidRPr="00EE6425">
        <w:rPr>
          <w:rFonts w:asciiTheme="majorHAnsi" w:hAnsiTheme="majorHAnsi" w:cstheme="majorHAnsi"/>
        </w:rPr>
        <w:tab/>
      </w:r>
    </w:p>
    <w:p w:rsidR="00155C88" w:rsidRDefault="00155C88" w:rsidP="00155C88"/>
    <w:p w:rsidR="00F81C57" w:rsidRDefault="00F81C57" w:rsidP="00155C88">
      <w:bookmarkStart w:id="0" w:name="_GoBack"/>
      <w:bookmarkEnd w:id="0"/>
    </w:p>
    <w:p w:rsidR="00155C88" w:rsidRDefault="00155C88" w:rsidP="00155C88"/>
    <w:p w:rsidR="00155C88" w:rsidRDefault="00155C88" w:rsidP="00155C88"/>
    <w:p w:rsidR="00F81C57" w:rsidRDefault="00F81C57" w:rsidP="00155C88"/>
    <w:p w:rsidR="00155C88" w:rsidRDefault="00155C88" w:rsidP="00155C88"/>
    <w:p w:rsidR="00155C88" w:rsidRDefault="00155C88" w:rsidP="00155C88"/>
    <w:p w:rsidR="00155C88" w:rsidRDefault="00155C88" w:rsidP="00155C88"/>
    <w:p w:rsidR="00155C88" w:rsidRDefault="00155C88" w:rsidP="00155C88"/>
    <w:p w:rsidR="00155C88" w:rsidRDefault="00155C88" w:rsidP="00155C88"/>
    <w:p w:rsidR="00155C88" w:rsidRDefault="00155C88" w:rsidP="00155C88"/>
    <w:p w:rsidR="00155C88" w:rsidRDefault="00155C88" w:rsidP="00155C88"/>
    <w:p w:rsidR="00155C88" w:rsidRDefault="00155C88" w:rsidP="00155C88"/>
    <w:p w:rsidR="00155C88" w:rsidRDefault="00155C88" w:rsidP="00155C88"/>
    <w:p w:rsidR="00155C88" w:rsidRDefault="00155C88" w:rsidP="00155C88"/>
    <w:p w:rsidR="00155C88" w:rsidRDefault="00155C88" w:rsidP="00155C88"/>
    <w:p w:rsidR="00155C88" w:rsidRDefault="00155C88" w:rsidP="00155C88"/>
    <w:p w:rsidR="00155C88" w:rsidRDefault="00155C88" w:rsidP="00155C88"/>
    <w:p w:rsidR="00155C88" w:rsidRDefault="00155C88" w:rsidP="00155C88"/>
    <w:p w:rsidR="00155C88" w:rsidRDefault="00155C88" w:rsidP="00155C88"/>
    <w:p w:rsidR="00155C88" w:rsidRDefault="00155C88" w:rsidP="00155C88"/>
    <w:p w:rsidR="00155C88" w:rsidRDefault="00155C88" w:rsidP="00155C88"/>
    <w:p w:rsidR="00DF47ED" w:rsidRDefault="00DF47ED" w:rsidP="00155C88"/>
    <w:p w:rsidR="00DF47ED" w:rsidRDefault="00DF47ED" w:rsidP="00155C88"/>
    <w:p w:rsidR="00DF47ED" w:rsidRDefault="00DF47ED" w:rsidP="00155C88"/>
    <w:p w:rsidR="00155C88" w:rsidRDefault="00155C88" w:rsidP="00155C88"/>
    <w:p w:rsidR="00155C88" w:rsidRDefault="00155C88" w:rsidP="00155C88"/>
    <w:p w:rsidR="00155C88" w:rsidRPr="00EE6425" w:rsidRDefault="00155C88" w:rsidP="00155C88">
      <w:pPr>
        <w:rPr>
          <w:rFonts w:asciiTheme="majorHAnsi" w:hAnsiTheme="majorHAnsi" w:cstheme="majorHAnsi"/>
          <w:b/>
          <w:sz w:val="24"/>
          <w:szCs w:val="24"/>
        </w:rPr>
      </w:pPr>
      <w:r w:rsidRPr="00EE6425">
        <w:rPr>
          <w:rFonts w:asciiTheme="majorHAnsi" w:hAnsiTheme="majorHAnsi" w:cstheme="majorHAnsi"/>
          <w:b/>
          <w:sz w:val="24"/>
          <w:szCs w:val="24"/>
        </w:rPr>
        <w:lastRenderedPageBreak/>
        <w:t xml:space="preserve">1.  </w:t>
      </w:r>
      <w:r w:rsidR="00DF47ED" w:rsidRPr="00EE6425">
        <w:rPr>
          <w:rFonts w:asciiTheme="majorHAnsi" w:hAnsiTheme="majorHAnsi" w:cstheme="majorHAnsi"/>
          <w:b/>
          <w:sz w:val="24"/>
          <w:szCs w:val="24"/>
        </w:rPr>
        <w:t xml:space="preserve">INTRODUCTION </w:t>
      </w:r>
      <w:r w:rsidRPr="00EE6425">
        <w:rPr>
          <w:rFonts w:asciiTheme="majorHAnsi" w:hAnsiTheme="majorHAnsi" w:cstheme="majorHAnsi"/>
          <w:b/>
          <w:sz w:val="24"/>
          <w:szCs w:val="24"/>
        </w:rPr>
        <w:tab/>
      </w:r>
    </w:p>
    <w:p w:rsidR="00155C88" w:rsidRPr="00EE6425" w:rsidRDefault="00155C88" w:rsidP="00155C88">
      <w:pPr>
        <w:pStyle w:val="BodyText"/>
        <w:jc w:val="both"/>
        <w:rPr>
          <w:rFonts w:asciiTheme="majorHAnsi" w:hAnsiTheme="majorHAnsi" w:cstheme="majorHAnsi"/>
          <w:szCs w:val="22"/>
        </w:rPr>
      </w:pPr>
      <w:r w:rsidRPr="00EE6425">
        <w:rPr>
          <w:rFonts w:asciiTheme="majorHAnsi" w:hAnsiTheme="majorHAnsi" w:cstheme="majorHAnsi"/>
          <w:szCs w:val="22"/>
        </w:rPr>
        <w:t xml:space="preserve">We are committed to equality of opportunity and to a pro-active and inclusive approach to equality, which supports and encourages all, promotes an inclusive culture, and values diversity. In order to express this commitment, we develop, promote and maintain policies that will be conducive to the principles of fairness and equality in the workplace. The aim is for our workforce to be truly representative of all sections of society, and for each employee to feel respected and able to give their best. </w:t>
      </w:r>
    </w:p>
    <w:p w:rsidR="00155C88" w:rsidRPr="00EE6425" w:rsidRDefault="00155C88" w:rsidP="00155C88">
      <w:pPr>
        <w:pStyle w:val="BodyText"/>
        <w:jc w:val="both"/>
        <w:rPr>
          <w:rFonts w:asciiTheme="majorHAnsi" w:hAnsiTheme="majorHAnsi" w:cstheme="majorHAnsi"/>
          <w:szCs w:val="22"/>
        </w:rPr>
      </w:pPr>
      <w:r w:rsidRPr="00EE6425">
        <w:rPr>
          <w:rFonts w:asciiTheme="majorHAnsi" w:hAnsiTheme="majorHAnsi" w:cstheme="majorHAnsi"/>
          <w:szCs w:val="22"/>
        </w:rPr>
        <w:t>The objective of this policy is that no person in our employment, whether temporary, part-time or full-time,  should suffer or experience less favourable treatment, discrimination or lack of opportunities on the grounds of age, disability, gender (including gender reassignment), marriage and civil partnership, pregnancy and maternity, race - including colour, nationality, ethnicity or national origin, sex, sexual orientation, religion or belief in line with the Equality Act 2010. We oppose and avoid all forms of unlawful discrimination,  including  pay and benefits, terms and conditions of employment, dealing with grievances and discipline, dismissal, redundancy, leave for parents, requests for flexible working, and selection for employment, promotion, training or other developmental opportunities.</w:t>
      </w:r>
    </w:p>
    <w:p w:rsidR="00155C88" w:rsidRPr="00EE6425" w:rsidRDefault="00155C88" w:rsidP="00155C88">
      <w:pPr>
        <w:pStyle w:val="BodyText"/>
        <w:jc w:val="both"/>
        <w:rPr>
          <w:rFonts w:asciiTheme="majorHAnsi" w:hAnsiTheme="majorHAnsi" w:cstheme="majorHAnsi"/>
          <w:szCs w:val="22"/>
        </w:rPr>
      </w:pPr>
      <w:r w:rsidRPr="00EE6425">
        <w:rPr>
          <w:rFonts w:asciiTheme="majorHAnsi" w:hAnsiTheme="majorHAnsi" w:cstheme="majorHAnsi"/>
          <w:szCs w:val="22"/>
        </w:rPr>
        <w:t>We are therefore committed to a policy and practice which require that all employees and potential employees are treated equally. Career progression will be determined</w:t>
      </w:r>
      <w:r w:rsidR="00CD0DA5">
        <w:rPr>
          <w:rFonts w:asciiTheme="majorHAnsi" w:hAnsiTheme="majorHAnsi" w:cstheme="majorHAnsi"/>
          <w:szCs w:val="22"/>
        </w:rPr>
        <w:t xml:space="preserve"> </w:t>
      </w:r>
      <w:r w:rsidRPr="00EE6425">
        <w:rPr>
          <w:rFonts w:asciiTheme="majorHAnsi" w:hAnsiTheme="majorHAnsi" w:cstheme="majorHAnsi"/>
          <w:szCs w:val="22"/>
        </w:rPr>
        <w:t xml:space="preserve">by personal merit, by performance and by the application of criteria which are related to the duties and conditions of each particular post and the needs of the establishment. </w:t>
      </w:r>
    </w:p>
    <w:p w:rsidR="00155C88" w:rsidRDefault="00155C88" w:rsidP="00220EB6">
      <w:pPr>
        <w:pStyle w:val="BodyText"/>
        <w:spacing w:after="0"/>
        <w:jc w:val="both"/>
        <w:rPr>
          <w:rFonts w:asciiTheme="majorHAnsi" w:hAnsiTheme="majorHAnsi" w:cstheme="majorHAnsi"/>
          <w:szCs w:val="22"/>
        </w:rPr>
      </w:pPr>
      <w:r w:rsidRPr="00EE6425">
        <w:rPr>
          <w:rFonts w:asciiTheme="majorHAnsi" w:hAnsiTheme="majorHAnsi" w:cstheme="majorHAnsi"/>
          <w:szCs w:val="22"/>
        </w:rPr>
        <w:t xml:space="preserve">If any employee considers that they are suffering from unequal treatment on any of the above grounds in their appointment or progression through the company, they may make a complaint, which will be dealt with through </w:t>
      </w:r>
      <w:r w:rsidR="00D36891">
        <w:rPr>
          <w:rFonts w:asciiTheme="majorHAnsi" w:hAnsiTheme="majorHAnsi" w:cstheme="majorHAnsi"/>
          <w:szCs w:val="22"/>
        </w:rPr>
        <w:t xml:space="preserve">our </w:t>
      </w:r>
      <w:r w:rsidRPr="00EE6425">
        <w:rPr>
          <w:rFonts w:asciiTheme="majorHAnsi" w:hAnsiTheme="majorHAnsi" w:cstheme="majorHAnsi"/>
          <w:szCs w:val="22"/>
        </w:rPr>
        <w:t>grievance procedure.</w:t>
      </w:r>
    </w:p>
    <w:p w:rsidR="00220EB6" w:rsidRPr="00EE6425" w:rsidRDefault="00220EB6" w:rsidP="00220EB6">
      <w:pPr>
        <w:pStyle w:val="BodyText"/>
        <w:spacing w:after="0"/>
        <w:jc w:val="both"/>
        <w:rPr>
          <w:rFonts w:asciiTheme="majorHAnsi" w:hAnsiTheme="majorHAnsi" w:cstheme="majorHAnsi"/>
          <w:szCs w:val="22"/>
        </w:rPr>
      </w:pPr>
    </w:p>
    <w:p w:rsidR="00155C88" w:rsidRDefault="00155C88" w:rsidP="00220EB6">
      <w:pPr>
        <w:spacing w:after="0" w:line="240" w:lineRule="auto"/>
        <w:rPr>
          <w:rFonts w:asciiTheme="majorHAnsi" w:hAnsiTheme="majorHAnsi" w:cstheme="majorHAnsi"/>
          <w:b/>
          <w:sz w:val="24"/>
        </w:rPr>
      </w:pPr>
      <w:r w:rsidRPr="00EE6425">
        <w:rPr>
          <w:rFonts w:asciiTheme="majorHAnsi" w:hAnsiTheme="majorHAnsi" w:cstheme="majorHAnsi"/>
          <w:b/>
          <w:sz w:val="24"/>
        </w:rPr>
        <w:t xml:space="preserve">2. </w:t>
      </w:r>
      <w:r w:rsidR="00220EB6">
        <w:rPr>
          <w:rFonts w:asciiTheme="majorHAnsi" w:hAnsiTheme="majorHAnsi" w:cstheme="majorHAnsi"/>
          <w:b/>
          <w:sz w:val="24"/>
        </w:rPr>
        <w:t xml:space="preserve"> </w:t>
      </w:r>
      <w:r w:rsidR="00DF47ED" w:rsidRPr="00EE6425">
        <w:rPr>
          <w:rFonts w:asciiTheme="majorHAnsi" w:hAnsiTheme="majorHAnsi" w:cstheme="majorHAnsi"/>
          <w:b/>
          <w:sz w:val="24"/>
        </w:rPr>
        <w:t>OUR RESPONSIBILITY</w:t>
      </w:r>
    </w:p>
    <w:p w:rsidR="00220EB6" w:rsidRPr="00EE6425" w:rsidRDefault="00220EB6" w:rsidP="00220EB6">
      <w:pPr>
        <w:spacing w:after="0" w:line="240" w:lineRule="auto"/>
        <w:rPr>
          <w:rFonts w:asciiTheme="majorHAnsi" w:hAnsiTheme="majorHAnsi" w:cstheme="majorHAnsi"/>
          <w:b/>
          <w:sz w:val="24"/>
        </w:rPr>
      </w:pPr>
    </w:p>
    <w:p w:rsidR="00155C88" w:rsidRDefault="00155C88" w:rsidP="00155C88">
      <w:pPr>
        <w:contextualSpacing/>
        <w:jc w:val="both"/>
        <w:rPr>
          <w:rFonts w:asciiTheme="majorHAnsi" w:hAnsiTheme="majorHAnsi" w:cstheme="majorHAnsi"/>
        </w:rPr>
      </w:pPr>
      <w:r w:rsidRPr="00EE6425">
        <w:rPr>
          <w:rFonts w:asciiTheme="majorHAnsi" w:hAnsiTheme="majorHAnsi" w:cstheme="majorHAnsi"/>
        </w:rPr>
        <w:t>As part of maintaining a high quality workplace, we commit to:</w:t>
      </w:r>
    </w:p>
    <w:p w:rsidR="00504629" w:rsidRPr="00EE6425" w:rsidRDefault="00504629" w:rsidP="00155C88">
      <w:pPr>
        <w:contextualSpacing/>
        <w:jc w:val="both"/>
        <w:rPr>
          <w:rFonts w:asciiTheme="majorHAnsi" w:hAnsiTheme="majorHAnsi" w:cstheme="majorHAnsi"/>
        </w:rPr>
      </w:pPr>
    </w:p>
    <w:p w:rsidR="00155C88" w:rsidRPr="00EE6425" w:rsidRDefault="00155C88" w:rsidP="00155C88">
      <w:pPr>
        <w:numPr>
          <w:ilvl w:val="0"/>
          <w:numId w:val="8"/>
        </w:numPr>
        <w:spacing w:after="100" w:afterAutospacing="1" w:line="240" w:lineRule="auto"/>
        <w:contextualSpacing/>
        <w:jc w:val="both"/>
        <w:rPr>
          <w:rFonts w:asciiTheme="majorHAnsi" w:hAnsiTheme="majorHAnsi" w:cstheme="majorHAnsi"/>
        </w:rPr>
      </w:pPr>
      <w:r w:rsidRPr="00EE6425">
        <w:rPr>
          <w:rFonts w:asciiTheme="majorHAnsi" w:hAnsiTheme="majorHAnsi" w:cstheme="majorHAnsi"/>
        </w:rPr>
        <w:t xml:space="preserve">Ensuring that people who are in our employment are protected from direct discrimination on the basis of a ‘protected characteristic’. The relevant characteristics are: </w:t>
      </w:r>
    </w:p>
    <w:p w:rsidR="00155C88" w:rsidRPr="00EE6425" w:rsidRDefault="00155C88" w:rsidP="00155C88">
      <w:pPr>
        <w:pStyle w:val="Default"/>
        <w:numPr>
          <w:ilvl w:val="0"/>
          <w:numId w:val="9"/>
        </w:numPr>
        <w:contextualSpacing/>
        <w:jc w:val="both"/>
        <w:rPr>
          <w:rFonts w:asciiTheme="majorHAnsi" w:hAnsiTheme="majorHAnsi" w:cstheme="majorHAnsi"/>
          <w:color w:val="auto"/>
          <w:sz w:val="22"/>
          <w:szCs w:val="22"/>
          <w:lang w:val="en-US" w:eastAsia="ar-SA"/>
        </w:rPr>
      </w:pPr>
      <w:r w:rsidRPr="00EE6425">
        <w:rPr>
          <w:rFonts w:asciiTheme="majorHAnsi" w:hAnsiTheme="majorHAnsi" w:cstheme="majorHAnsi"/>
          <w:color w:val="auto"/>
          <w:sz w:val="22"/>
          <w:szCs w:val="22"/>
          <w:lang w:val="en-US" w:eastAsia="ar-SA"/>
        </w:rPr>
        <w:t xml:space="preserve">disability </w:t>
      </w:r>
    </w:p>
    <w:p w:rsidR="00155C88" w:rsidRPr="00EE6425" w:rsidRDefault="00155C88" w:rsidP="00155C88">
      <w:pPr>
        <w:pStyle w:val="Default"/>
        <w:numPr>
          <w:ilvl w:val="0"/>
          <w:numId w:val="9"/>
        </w:numPr>
        <w:contextualSpacing/>
        <w:jc w:val="both"/>
        <w:rPr>
          <w:rFonts w:asciiTheme="majorHAnsi" w:hAnsiTheme="majorHAnsi" w:cstheme="majorHAnsi"/>
          <w:color w:val="auto"/>
          <w:sz w:val="22"/>
          <w:szCs w:val="22"/>
          <w:lang w:val="en-US" w:eastAsia="ar-SA"/>
        </w:rPr>
      </w:pPr>
      <w:r w:rsidRPr="00EE6425">
        <w:rPr>
          <w:rFonts w:asciiTheme="majorHAnsi" w:hAnsiTheme="majorHAnsi" w:cstheme="majorHAnsi"/>
          <w:color w:val="auto"/>
          <w:sz w:val="22"/>
          <w:szCs w:val="22"/>
          <w:lang w:val="en-US" w:eastAsia="ar-SA"/>
        </w:rPr>
        <w:t>age</w:t>
      </w:r>
    </w:p>
    <w:p w:rsidR="00155C88" w:rsidRPr="00EE6425" w:rsidRDefault="00155C88" w:rsidP="00155C88">
      <w:pPr>
        <w:pStyle w:val="Default"/>
        <w:numPr>
          <w:ilvl w:val="0"/>
          <w:numId w:val="9"/>
        </w:numPr>
        <w:contextualSpacing/>
        <w:jc w:val="both"/>
        <w:rPr>
          <w:rFonts w:asciiTheme="majorHAnsi" w:hAnsiTheme="majorHAnsi" w:cstheme="majorHAnsi"/>
          <w:color w:val="auto"/>
          <w:sz w:val="22"/>
          <w:szCs w:val="22"/>
          <w:lang w:val="en-US" w:eastAsia="ar-SA"/>
        </w:rPr>
      </w:pPr>
      <w:r w:rsidRPr="00EE6425">
        <w:rPr>
          <w:rFonts w:asciiTheme="majorHAnsi" w:hAnsiTheme="majorHAnsi" w:cstheme="majorHAnsi"/>
          <w:color w:val="auto"/>
          <w:sz w:val="22"/>
          <w:szCs w:val="22"/>
          <w:lang w:val="en-US" w:eastAsia="ar-SA"/>
        </w:rPr>
        <w:t xml:space="preserve">gender reassignment </w:t>
      </w:r>
    </w:p>
    <w:p w:rsidR="00155C88" w:rsidRPr="00EE6425" w:rsidRDefault="00155C88" w:rsidP="00155C88">
      <w:pPr>
        <w:pStyle w:val="Default"/>
        <w:numPr>
          <w:ilvl w:val="0"/>
          <w:numId w:val="9"/>
        </w:numPr>
        <w:contextualSpacing/>
        <w:jc w:val="both"/>
        <w:rPr>
          <w:rFonts w:asciiTheme="majorHAnsi" w:hAnsiTheme="majorHAnsi" w:cstheme="majorHAnsi"/>
          <w:color w:val="auto"/>
          <w:sz w:val="22"/>
          <w:szCs w:val="22"/>
          <w:lang w:val="en-US" w:eastAsia="ar-SA"/>
        </w:rPr>
      </w:pPr>
      <w:r w:rsidRPr="00EE6425">
        <w:rPr>
          <w:rFonts w:asciiTheme="majorHAnsi" w:hAnsiTheme="majorHAnsi" w:cstheme="majorHAnsi"/>
          <w:color w:val="auto"/>
          <w:sz w:val="22"/>
          <w:szCs w:val="22"/>
          <w:lang w:val="en-US" w:eastAsia="ar-SA"/>
        </w:rPr>
        <w:t>pregnancy and maternity leave</w:t>
      </w:r>
    </w:p>
    <w:p w:rsidR="00155C88" w:rsidRPr="00EE6425" w:rsidRDefault="00155C88" w:rsidP="00155C88">
      <w:pPr>
        <w:pStyle w:val="Default"/>
        <w:numPr>
          <w:ilvl w:val="0"/>
          <w:numId w:val="9"/>
        </w:numPr>
        <w:contextualSpacing/>
        <w:jc w:val="both"/>
        <w:rPr>
          <w:rFonts w:asciiTheme="majorHAnsi" w:hAnsiTheme="majorHAnsi" w:cstheme="majorHAnsi"/>
          <w:color w:val="auto"/>
          <w:sz w:val="22"/>
          <w:szCs w:val="22"/>
          <w:lang w:val="en-US" w:eastAsia="ar-SA"/>
        </w:rPr>
      </w:pPr>
      <w:r w:rsidRPr="00EE6425">
        <w:rPr>
          <w:rFonts w:asciiTheme="majorHAnsi" w:hAnsiTheme="majorHAnsi" w:cstheme="majorHAnsi"/>
          <w:color w:val="auto"/>
          <w:sz w:val="22"/>
          <w:szCs w:val="22"/>
          <w:lang w:val="en-US" w:eastAsia="ar-SA"/>
        </w:rPr>
        <w:t xml:space="preserve">race – this includes ethnic or national origins, colour and nationality </w:t>
      </w:r>
    </w:p>
    <w:p w:rsidR="00155C88" w:rsidRPr="00EE6425" w:rsidRDefault="00155C88" w:rsidP="00155C88">
      <w:pPr>
        <w:pStyle w:val="Default"/>
        <w:numPr>
          <w:ilvl w:val="0"/>
          <w:numId w:val="9"/>
        </w:numPr>
        <w:contextualSpacing/>
        <w:jc w:val="both"/>
        <w:rPr>
          <w:rFonts w:asciiTheme="majorHAnsi" w:hAnsiTheme="majorHAnsi" w:cstheme="majorHAnsi"/>
          <w:color w:val="auto"/>
          <w:sz w:val="22"/>
          <w:szCs w:val="22"/>
          <w:lang w:val="en-US" w:eastAsia="ar-SA"/>
        </w:rPr>
      </w:pPr>
      <w:r w:rsidRPr="00EE6425">
        <w:rPr>
          <w:rFonts w:asciiTheme="majorHAnsi" w:hAnsiTheme="majorHAnsi" w:cstheme="majorHAnsi"/>
          <w:color w:val="auto"/>
          <w:sz w:val="22"/>
          <w:szCs w:val="22"/>
          <w:lang w:val="en-US" w:eastAsia="ar-SA"/>
        </w:rPr>
        <w:t xml:space="preserve">religion, belief or lack of religion/belief </w:t>
      </w:r>
    </w:p>
    <w:p w:rsidR="00155C88" w:rsidRPr="00EE6425" w:rsidRDefault="00155C88" w:rsidP="00155C88">
      <w:pPr>
        <w:pStyle w:val="Default"/>
        <w:numPr>
          <w:ilvl w:val="0"/>
          <w:numId w:val="9"/>
        </w:numPr>
        <w:contextualSpacing/>
        <w:jc w:val="both"/>
        <w:rPr>
          <w:rFonts w:asciiTheme="majorHAnsi" w:hAnsiTheme="majorHAnsi" w:cstheme="majorHAnsi"/>
          <w:color w:val="auto"/>
          <w:sz w:val="22"/>
          <w:szCs w:val="22"/>
          <w:lang w:val="en-US" w:eastAsia="ar-SA"/>
        </w:rPr>
      </w:pPr>
      <w:r w:rsidRPr="00EE6425">
        <w:rPr>
          <w:rFonts w:asciiTheme="majorHAnsi" w:hAnsiTheme="majorHAnsi" w:cstheme="majorHAnsi"/>
          <w:color w:val="auto"/>
          <w:sz w:val="22"/>
          <w:szCs w:val="22"/>
          <w:lang w:val="en-US" w:eastAsia="ar-SA"/>
        </w:rPr>
        <w:t>sex</w:t>
      </w:r>
    </w:p>
    <w:p w:rsidR="00155C88" w:rsidRPr="00EE6425" w:rsidRDefault="00155C88" w:rsidP="00155C88">
      <w:pPr>
        <w:pStyle w:val="Default"/>
        <w:numPr>
          <w:ilvl w:val="0"/>
          <w:numId w:val="9"/>
        </w:numPr>
        <w:contextualSpacing/>
        <w:jc w:val="both"/>
        <w:rPr>
          <w:rFonts w:asciiTheme="majorHAnsi" w:hAnsiTheme="majorHAnsi" w:cstheme="majorHAnsi"/>
          <w:color w:val="auto"/>
          <w:sz w:val="22"/>
          <w:szCs w:val="22"/>
          <w:lang w:val="en-US" w:eastAsia="ar-SA"/>
        </w:rPr>
      </w:pPr>
      <w:r w:rsidRPr="00EE6425">
        <w:rPr>
          <w:rFonts w:asciiTheme="majorHAnsi" w:hAnsiTheme="majorHAnsi" w:cstheme="majorHAnsi"/>
          <w:color w:val="auto"/>
          <w:sz w:val="22"/>
          <w:szCs w:val="22"/>
          <w:lang w:val="en-US" w:eastAsia="ar-SA"/>
        </w:rPr>
        <w:t>sexual orientation</w:t>
      </w:r>
    </w:p>
    <w:p w:rsidR="00155C88" w:rsidRPr="00EE6425" w:rsidRDefault="00155C88" w:rsidP="00155C88">
      <w:pPr>
        <w:pStyle w:val="Default"/>
        <w:numPr>
          <w:ilvl w:val="0"/>
          <w:numId w:val="9"/>
        </w:numPr>
        <w:contextualSpacing/>
        <w:jc w:val="both"/>
        <w:rPr>
          <w:rFonts w:asciiTheme="majorHAnsi" w:hAnsiTheme="majorHAnsi" w:cstheme="majorHAnsi"/>
          <w:color w:val="auto"/>
          <w:sz w:val="22"/>
          <w:szCs w:val="22"/>
          <w:lang w:val="en-US" w:eastAsia="ar-SA"/>
        </w:rPr>
      </w:pPr>
      <w:r w:rsidRPr="00EE6425">
        <w:rPr>
          <w:rFonts w:asciiTheme="majorHAnsi" w:hAnsiTheme="majorHAnsi" w:cstheme="majorHAnsi"/>
          <w:color w:val="auto"/>
          <w:sz w:val="22"/>
          <w:szCs w:val="22"/>
          <w:lang w:val="en-US" w:eastAsia="ar-SA"/>
        </w:rPr>
        <w:t>marriage and civil partnership</w:t>
      </w:r>
    </w:p>
    <w:p w:rsidR="00155C88" w:rsidRPr="00EE6425" w:rsidRDefault="00155C88" w:rsidP="00155C88">
      <w:pPr>
        <w:pStyle w:val="Default"/>
        <w:contextualSpacing/>
        <w:jc w:val="both"/>
        <w:rPr>
          <w:rFonts w:asciiTheme="majorHAnsi" w:hAnsiTheme="majorHAnsi" w:cstheme="majorHAnsi"/>
          <w:color w:val="auto"/>
          <w:sz w:val="22"/>
          <w:szCs w:val="22"/>
          <w:lang w:val="en-US" w:eastAsia="ar-SA"/>
        </w:rPr>
      </w:pPr>
    </w:p>
    <w:p w:rsidR="00155C88" w:rsidRPr="00EE6425" w:rsidRDefault="00155C88" w:rsidP="00155C88">
      <w:pPr>
        <w:pStyle w:val="Default"/>
        <w:contextualSpacing/>
        <w:jc w:val="both"/>
        <w:rPr>
          <w:rFonts w:asciiTheme="majorHAnsi" w:hAnsiTheme="majorHAnsi" w:cstheme="majorHAnsi"/>
          <w:i/>
          <w:color w:val="auto"/>
          <w:sz w:val="22"/>
          <w:szCs w:val="22"/>
        </w:rPr>
      </w:pPr>
      <w:r w:rsidRPr="00EE6425">
        <w:rPr>
          <w:rFonts w:asciiTheme="majorHAnsi" w:hAnsiTheme="majorHAnsi" w:cstheme="majorHAnsi"/>
          <w:i/>
          <w:color w:val="auto"/>
          <w:sz w:val="22"/>
          <w:szCs w:val="22"/>
          <w:lang w:val="en-US" w:eastAsia="ar-SA"/>
        </w:rPr>
        <w:t>Except</w:t>
      </w:r>
      <w:r w:rsidRPr="00EE6425">
        <w:rPr>
          <w:rFonts w:asciiTheme="majorHAnsi" w:hAnsiTheme="majorHAnsi" w:cstheme="majorHAnsi"/>
          <w:i/>
          <w:color w:val="auto"/>
          <w:sz w:val="22"/>
          <w:szCs w:val="22"/>
        </w:rPr>
        <w:t xml:space="preserve"> in the case of pregnancy and maternity, people who are protected do not actually have to possess the characteristic themselves. Protection also applies, for example, where the person is unfairly treated because they are wrongly perceived to have a particular characteristic (or are treated as though they had it) or because they associate with someone who has the characteristic.</w:t>
      </w:r>
    </w:p>
    <w:p w:rsidR="00155C88" w:rsidRPr="00EE6425" w:rsidRDefault="00155C88" w:rsidP="00155C88">
      <w:pPr>
        <w:pStyle w:val="Default"/>
        <w:jc w:val="both"/>
        <w:rPr>
          <w:rFonts w:asciiTheme="majorHAnsi" w:hAnsiTheme="majorHAnsi" w:cstheme="majorHAnsi"/>
          <w:i/>
          <w:color w:val="auto"/>
          <w:sz w:val="22"/>
          <w:szCs w:val="22"/>
          <w:lang w:val="en-US" w:eastAsia="ar-SA"/>
        </w:rPr>
      </w:pPr>
    </w:p>
    <w:p w:rsidR="00155C88" w:rsidRDefault="00155C88" w:rsidP="00155C88">
      <w:pPr>
        <w:numPr>
          <w:ilvl w:val="0"/>
          <w:numId w:val="8"/>
        </w:numPr>
        <w:spacing w:after="0" w:line="240" w:lineRule="auto"/>
        <w:jc w:val="both"/>
        <w:rPr>
          <w:rFonts w:asciiTheme="majorHAnsi" w:hAnsiTheme="majorHAnsi" w:cstheme="majorHAnsi"/>
        </w:rPr>
      </w:pPr>
      <w:r w:rsidRPr="00EE6425">
        <w:rPr>
          <w:rFonts w:asciiTheme="majorHAnsi" w:hAnsiTheme="majorHAnsi" w:cstheme="majorHAnsi"/>
        </w:rPr>
        <w:t>Promote equality of opportunity, diversity and inclusion in the workplace.</w:t>
      </w:r>
    </w:p>
    <w:p w:rsidR="00A95C34" w:rsidRPr="00EE6425" w:rsidRDefault="00A95C34" w:rsidP="00220EB6">
      <w:pPr>
        <w:spacing w:after="0" w:line="240" w:lineRule="auto"/>
        <w:ind w:left="720"/>
        <w:jc w:val="both"/>
        <w:rPr>
          <w:rFonts w:asciiTheme="majorHAnsi" w:hAnsiTheme="majorHAnsi" w:cstheme="majorHAnsi"/>
        </w:rPr>
      </w:pPr>
    </w:p>
    <w:p w:rsidR="00155C88" w:rsidRPr="00EE6425" w:rsidRDefault="00155C88" w:rsidP="00155C88">
      <w:pPr>
        <w:numPr>
          <w:ilvl w:val="0"/>
          <w:numId w:val="8"/>
        </w:numPr>
        <w:spacing w:after="0" w:line="240" w:lineRule="auto"/>
        <w:jc w:val="both"/>
        <w:rPr>
          <w:rFonts w:asciiTheme="majorHAnsi" w:hAnsiTheme="majorHAnsi" w:cstheme="majorHAnsi"/>
        </w:rPr>
      </w:pPr>
      <w:r w:rsidRPr="00EE6425">
        <w:rPr>
          <w:rFonts w:asciiTheme="majorHAnsi" w:hAnsiTheme="majorHAnsi" w:cstheme="majorHAnsi"/>
        </w:rPr>
        <w:t>Create a working environment free of bullying, harassment, victimisation and unlawful discrimination, promoting dignity and respect for all, and where there are individual differences,  the contributions of all employees are recognised and valued.</w:t>
      </w:r>
    </w:p>
    <w:p w:rsidR="00155C88" w:rsidRPr="00EE6425" w:rsidRDefault="00155C88" w:rsidP="00155C88">
      <w:pPr>
        <w:spacing w:after="0" w:line="240" w:lineRule="auto"/>
        <w:jc w:val="both"/>
        <w:rPr>
          <w:rFonts w:asciiTheme="majorHAnsi" w:hAnsiTheme="majorHAnsi" w:cstheme="majorHAnsi"/>
        </w:rPr>
      </w:pPr>
    </w:p>
    <w:p w:rsidR="00155C88" w:rsidRPr="00EE6425" w:rsidRDefault="00155C88" w:rsidP="00155C88">
      <w:pPr>
        <w:numPr>
          <w:ilvl w:val="0"/>
          <w:numId w:val="8"/>
        </w:numPr>
        <w:spacing w:after="0" w:line="240" w:lineRule="auto"/>
        <w:jc w:val="both"/>
        <w:rPr>
          <w:rFonts w:asciiTheme="majorHAnsi" w:hAnsiTheme="majorHAnsi" w:cstheme="majorHAnsi"/>
        </w:rPr>
      </w:pPr>
      <w:r w:rsidRPr="00EE6425">
        <w:rPr>
          <w:rFonts w:asciiTheme="majorHAnsi" w:hAnsiTheme="majorHAnsi" w:cstheme="majorHAnsi"/>
        </w:rPr>
        <w:t xml:space="preserve">This commitment includes training managers and all other employees about their rights and responsibilities under the equality, diversity and inclusion policy. </w:t>
      </w:r>
      <w:r w:rsidR="00D36891">
        <w:rPr>
          <w:rFonts w:asciiTheme="majorHAnsi" w:hAnsiTheme="majorHAnsi" w:cstheme="majorHAnsi"/>
        </w:rPr>
        <w:t xml:space="preserve">Managers responsibilities include supporting Witherslack Group to provide </w:t>
      </w:r>
      <w:r w:rsidRPr="00EE6425">
        <w:rPr>
          <w:rFonts w:asciiTheme="majorHAnsi" w:hAnsiTheme="majorHAnsi" w:cstheme="majorHAnsi"/>
        </w:rPr>
        <w:t>equal opportunities in employment, and prevent bullying, harassment, victimisation and unlawful discrimination</w:t>
      </w:r>
      <w:r w:rsidR="00D36891">
        <w:rPr>
          <w:rFonts w:asciiTheme="majorHAnsi" w:hAnsiTheme="majorHAnsi" w:cstheme="majorHAnsi"/>
        </w:rPr>
        <w:t xml:space="preserve"> in their teams</w:t>
      </w:r>
      <w:r w:rsidRPr="00EE6425">
        <w:rPr>
          <w:rFonts w:asciiTheme="majorHAnsi" w:hAnsiTheme="majorHAnsi" w:cstheme="majorHAnsi"/>
        </w:rPr>
        <w:t>.</w:t>
      </w:r>
    </w:p>
    <w:p w:rsidR="00155C88" w:rsidRPr="00EE6425" w:rsidRDefault="00155C88" w:rsidP="00155C88">
      <w:pPr>
        <w:spacing w:after="0" w:line="240" w:lineRule="auto"/>
        <w:jc w:val="both"/>
        <w:rPr>
          <w:rFonts w:asciiTheme="majorHAnsi" w:hAnsiTheme="majorHAnsi" w:cstheme="majorHAnsi"/>
        </w:rPr>
      </w:pPr>
    </w:p>
    <w:p w:rsidR="00155C88" w:rsidRPr="00EE6425" w:rsidRDefault="00155C88" w:rsidP="00155C88">
      <w:pPr>
        <w:numPr>
          <w:ilvl w:val="0"/>
          <w:numId w:val="8"/>
        </w:numPr>
        <w:spacing w:after="0" w:line="240" w:lineRule="auto"/>
        <w:jc w:val="both"/>
        <w:rPr>
          <w:rFonts w:asciiTheme="majorHAnsi" w:hAnsiTheme="majorHAnsi" w:cstheme="majorHAnsi"/>
        </w:rPr>
      </w:pPr>
      <w:r w:rsidRPr="00EE6425">
        <w:rPr>
          <w:rFonts w:asciiTheme="majorHAnsi" w:hAnsiTheme="majorHAnsi" w:cstheme="majorHAnsi"/>
        </w:rPr>
        <w:t>All employees should understand they, as well as Witherslack Group as their employer, can be held liable for acts of bullying, harassment, victimisation and unlawful discrimination, in the course of their employment, against fellow employees, customers, suppliers and the public.</w:t>
      </w:r>
    </w:p>
    <w:p w:rsidR="00155C88" w:rsidRPr="00EE6425" w:rsidRDefault="00155C88" w:rsidP="00155C88">
      <w:pPr>
        <w:spacing w:after="0" w:line="240" w:lineRule="auto"/>
        <w:jc w:val="both"/>
        <w:rPr>
          <w:rFonts w:asciiTheme="majorHAnsi" w:hAnsiTheme="majorHAnsi" w:cstheme="majorHAnsi"/>
        </w:rPr>
      </w:pPr>
    </w:p>
    <w:p w:rsidR="00155C88" w:rsidRPr="00EE6425" w:rsidRDefault="00155C88" w:rsidP="00155C88">
      <w:pPr>
        <w:numPr>
          <w:ilvl w:val="0"/>
          <w:numId w:val="8"/>
        </w:numPr>
        <w:spacing w:after="0" w:line="240" w:lineRule="auto"/>
        <w:jc w:val="both"/>
        <w:rPr>
          <w:rFonts w:asciiTheme="majorHAnsi" w:hAnsiTheme="majorHAnsi" w:cstheme="majorHAnsi"/>
        </w:rPr>
      </w:pPr>
      <w:r w:rsidRPr="00EE6425">
        <w:rPr>
          <w:rFonts w:asciiTheme="majorHAnsi" w:hAnsiTheme="majorHAnsi" w:cstheme="majorHAnsi"/>
        </w:rPr>
        <w:t>Take seriously complaints of bullying, harassment, victimisation and unlawful discrimination by fellow employees, customers, suppliers, visitors, the public and any others in the course of the organisation’s activities.  Such acts will be dealt with as misconduct under our grievance and/or disciplinary procedures, and appropriate action will be taken. Particularly serious complaints could amount to gross misconduct and lead to dismissal without notice.</w:t>
      </w:r>
    </w:p>
    <w:p w:rsidR="00155C88" w:rsidRPr="00EE6425" w:rsidRDefault="00155C88" w:rsidP="00155C88">
      <w:pPr>
        <w:spacing w:after="0" w:line="240" w:lineRule="auto"/>
        <w:jc w:val="both"/>
        <w:rPr>
          <w:rFonts w:asciiTheme="majorHAnsi" w:hAnsiTheme="majorHAnsi" w:cstheme="majorHAnsi"/>
        </w:rPr>
      </w:pPr>
    </w:p>
    <w:p w:rsidR="00155C88" w:rsidRPr="00EE6425" w:rsidRDefault="00155C88" w:rsidP="00155C88">
      <w:pPr>
        <w:numPr>
          <w:ilvl w:val="0"/>
          <w:numId w:val="8"/>
        </w:numPr>
        <w:spacing w:after="0" w:line="240" w:lineRule="auto"/>
        <w:jc w:val="both"/>
        <w:rPr>
          <w:rFonts w:asciiTheme="majorHAnsi" w:hAnsiTheme="majorHAnsi" w:cstheme="majorHAnsi"/>
        </w:rPr>
      </w:pPr>
      <w:r w:rsidRPr="00EE6425">
        <w:rPr>
          <w:rFonts w:asciiTheme="majorHAnsi" w:hAnsiTheme="majorHAnsi" w:cstheme="majorHAnsi"/>
        </w:rPr>
        <w:t>Further, sexual harassment may amount to both an employment rights matter and a criminal matter, such as in sexual assault allegations. In addition, harassment under the Protection from Harassment Act 1997 which is not limited to circumstances where harassment relates to a protected characteristic, is a criminal offence.</w:t>
      </w:r>
    </w:p>
    <w:p w:rsidR="00155C88" w:rsidRPr="00EE6425" w:rsidRDefault="00155C88" w:rsidP="00155C88">
      <w:pPr>
        <w:spacing w:after="0" w:line="240" w:lineRule="auto"/>
        <w:jc w:val="both"/>
        <w:rPr>
          <w:rFonts w:asciiTheme="majorHAnsi" w:hAnsiTheme="majorHAnsi" w:cstheme="majorHAnsi"/>
        </w:rPr>
      </w:pPr>
    </w:p>
    <w:p w:rsidR="00155C88" w:rsidRPr="00EE6425" w:rsidRDefault="00155C88" w:rsidP="00155C88">
      <w:pPr>
        <w:numPr>
          <w:ilvl w:val="0"/>
          <w:numId w:val="8"/>
        </w:numPr>
        <w:spacing w:after="0" w:line="240" w:lineRule="auto"/>
        <w:jc w:val="both"/>
        <w:rPr>
          <w:rFonts w:asciiTheme="majorHAnsi" w:hAnsiTheme="majorHAnsi" w:cstheme="majorHAnsi"/>
        </w:rPr>
      </w:pPr>
      <w:r w:rsidRPr="00EE6425">
        <w:rPr>
          <w:rFonts w:asciiTheme="majorHAnsi" w:hAnsiTheme="majorHAnsi" w:cstheme="majorHAnsi"/>
        </w:rPr>
        <w:t>Make opportunities for training, development and progress available to all employees, who will be helped and encouraged to develop their full potential, so their talents and resources can be fully utilised to maximise the efficiency of the organisation.</w:t>
      </w:r>
    </w:p>
    <w:p w:rsidR="00155C88" w:rsidRPr="00EE6425" w:rsidRDefault="00155C88" w:rsidP="00155C88">
      <w:pPr>
        <w:spacing w:after="0" w:line="240" w:lineRule="auto"/>
        <w:jc w:val="both"/>
        <w:rPr>
          <w:rFonts w:asciiTheme="majorHAnsi" w:hAnsiTheme="majorHAnsi" w:cstheme="majorHAnsi"/>
        </w:rPr>
      </w:pPr>
    </w:p>
    <w:p w:rsidR="00155C88" w:rsidRPr="00EE6425" w:rsidRDefault="00155C88" w:rsidP="00155C88">
      <w:pPr>
        <w:numPr>
          <w:ilvl w:val="0"/>
          <w:numId w:val="8"/>
        </w:numPr>
        <w:spacing w:after="0" w:line="240" w:lineRule="auto"/>
        <w:jc w:val="both"/>
        <w:rPr>
          <w:rFonts w:asciiTheme="majorHAnsi" w:hAnsiTheme="majorHAnsi" w:cstheme="majorHAnsi"/>
        </w:rPr>
      </w:pPr>
      <w:r w:rsidRPr="00EE6425">
        <w:rPr>
          <w:rFonts w:asciiTheme="majorHAnsi" w:hAnsiTheme="majorHAnsi" w:cstheme="majorHAnsi"/>
        </w:rPr>
        <w:t>Decisions concerning employees being based on merit (apart from in any necessary and limited exemptions and exceptions allowed under the Equality Act).</w:t>
      </w:r>
    </w:p>
    <w:p w:rsidR="00155C88" w:rsidRPr="00EE6425" w:rsidRDefault="00155C88" w:rsidP="00155C88">
      <w:pPr>
        <w:spacing w:after="0" w:line="240" w:lineRule="auto"/>
        <w:jc w:val="both"/>
        <w:rPr>
          <w:rFonts w:asciiTheme="majorHAnsi" w:hAnsiTheme="majorHAnsi" w:cstheme="majorHAnsi"/>
        </w:rPr>
      </w:pPr>
    </w:p>
    <w:p w:rsidR="00155C88" w:rsidRPr="00EE6425" w:rsidRDefault="00155C88" w:rsidP="00155C88">
      <w:pPr>
        <w:numPr>
          <w:ilvl w:val="0"/>
          <w:numId w:val="8"/>
        </w:numPr>
        <w:spacing w:after="0" w:line="240" w:lineRule="auto"/>
        <w:jc w:val="both"/>
        <w:rPr>
          <w:rFonts w:asciiTheme="majorHAnsi" w:hAnsiTheme="majorHAnsi" w:cstheme="majorHAnsi"/>
        </w:rPr>
      </w:pPr>
      <w:r w:rsidRPr="00EE6425">
        <w:rPr>
          <w:rFonts w:asciiTheme="majorHAnsi" w:hAnsiTheme="majorHAnsi" w:cstheme="majorHAnsi"/>
        </w:rPr>
        <w:t>Review employment practices and procedures when necessary to ensure fairness, and also update them and the policy to take account of changes in the law.</w:t>
      </w:r>
    </w:p>
    <w:p w:rsidR="00155C88" w:rsidRPr="00EE6425" w:rsidRDefault="00155C88" w:rsidP="00155C88">
      <w:pPr>
        <w:spacing w:after="0" w:line="240" w:lineRule="auto"/>
        <w:jc w:val="both"/>
        <w:rPr>
          <w:rFonts w:asciiTheme="majorHAnsi" w:hAnsiTheme="majorHAnsi" w:cstheme="majorHAnsi"/>
        </w:rPr>
      </w:pPr>
    </w:p>
    <w:p w:rsidR="00155C88" w:rsidRPr="00EE6425" w:rsidRDefault="00155C88" w:rsidP="00155C88">
      <w:pPr>
        <w:numPr>
          <w:ilvl w:val="0"/>
          <w:numId w:val="8"/>
        </w:numPr>
        <w:spacing w:after="0" w:line="240" w:lineRule="auto"/>
        <w:jc w:val="both"/>
        <w:rPr>
          <w:rFonts w:asciiTheme="majorHAnsi" w:hAnsiTheme="majorHAnsi" w:cstheme="majorHAnsi"/>
        </w:rPr>
      </w:pPr>
      <w:r w:rsidRPr="00EE6425">
        <w:rPr>
          <w:rFonts w:asciiTheme="majorHAnsi" w:hAnsiTheme="majorHAnsi" w:cstheme="majorHAnsi"/>
        </w:rPr>
        <w:t>Monitor composition of the workforce regarding information such as age, sex, ethnic background, sexual orientation, religion or belief, and disability in encouraging equality, diversity and inclusion, and in meeting the aims and commitments set out in the equality, diversity and inclusion policy.</w:t>
      </w:r>
    </w:p>
    <w:p w:rsidR="00155C88" w:rsidRPr="00EE6425" w:rsidRDefault="00155C88" w:rsidP="00155C88">
      <w:pPr>
        <w:spacing w:after="0" w:line="240" w:lineRule="auto"/>
        <w:jc w:val="both"/>
        <w:rPr>
          <w:rFonts w:asciiTheme="majorHAnsi" w:hAnsiTheme="majorHAnsi" w:cstheme="majorHAnsi"/>
        </w:rPr>
      </w:pPr>
    </w:p>
    <w:p w:rsidR="00155C88" w:rsidRPr="00EE6425" w:rsidRDefault="00155C88" w:rsidP="00155C88">
      <w:pPr>
        <w:numPr>
          <w:ilvl w:val="0"/>
          <w:numId w:val="8"/>
        </w:numPr>
        <w:spacing w:after="0" w:line="240" w:lineRule="auto"/>
        <w:jc w:val="both"/>
        <w:rPr>
          <w:rFonts w:asciiTheme="majorHAnsi" w:hAnsiTheme="majorHAnsi" w:cstheme="majorHAnsi"/>
        </w:rPr>
      </w:pPr>
      <w:r w:rsidRPr="00EE6425">
        <w:rPr>
          <w:rFonts w:asciiTheme="majorHAnsi" w:hAnsiTheme="majorHAnsi" w:cstheme="majorHAnsi"/>
        </w:rPr>
        <w:t>Monitoring will also include assessing how the equality, diversity and inclusion policy, and any supporting action plan, are working in practice, reviewing them annually, and considering and taking action to address any issues.</w:t>
      </w:r>
    </w:p>
    <w:p w:rsidR="00155C88" w:rsidRPr="00EE6425" w:rsidRDefault="00155C88" w:rsidP="00155C88">
      <w:pPr>
        <w:spacing w:after="0" w:line="240" w:lineRule="auto"/>
        <w:jc w:val="both"/>
        <w:rPr>
          <w:rFonts w:asciiTheme="majorHAnsi" w:hAnsiTheme="majorHAnsi" w:cstheme="majorHAnsi"/>
        </w:rPr>
      </w:pPr>
    </w:p>
    <w:p w:rsidR="00155C88" w:rsidRPr="00EE6425" w:rsidRDefault="00155C88" w:rsidP="00504629">
      <w:pPr>
        <w:numPr>
          <w:ilvl w:val="0"/>
          <w:numId w:val="8"/>
        </w:numPr>
        <w:spacing w:after="0" w:line="360" w:lineRule="auto"/>
        <w:ind w:left="714" w:hanging="357"/>
        <w:jc w:val="both"/>
        <w:rPr>
          <w:rFonts w:asciiTheme="majorHAnsi" w:hAnsiTheme="majorHAnsi" w:cstheme="majorHAnsi"/>
        </w:rPr>
      </w:pPr>
      <w:r w:rsidRPr="00EE6425">
        <w:rPr>
          <w:rFonts w:asciiTheme="majorHAnsi" w:hAnsiTheme="majorHAnsi" w:cstheme="majorHAnsi"/>
        </w:rPr>
        <w:t>Take positive action wherever possible to support this policy and its aims</w:t>
      </w:r>
      <w:r w:rsidR="005C518F">
        <w:rPr>
          <w:rFonts w:asciiTheme="majorHAnsi" w:hAnsiTheme="majorHAnsi" w:cstheme="majorHAnsi"/>
        </w:rPr>
        <w:t>.</w:t>
      </w:r>
    </w:p>
    <w:p w:rsidR="00155C88" w:rsidRPr="00EE6425" w:rsidRDefault="00155C88" w:rsidP="00504629">
      <w:pPr>
        <w:numPr>
          <w:ilvl w:val="0"/>
          <w:numId w:val="8"/>
        </w:numPr>
        <w:spacing w:after="0" w:line="240" w:lineRule="auto"/>
        <w:ind w:left="714" w:hanging="357"/>
        <w:jc w:val="both"/>
        <w:rPr>
          <w:rFonts w:asciiTheme="majorHAnsi" w:hAnsiTheme="majorHAnsi" w:cstheme="majorHAnsi"/>
        </w:rPr>
      </w:pPr>
      <w:r w:rsidRPr="00EE6425">
        <w:rPr>
          <w:rFonts w:asciiTheme="majorHAnsi" w:hAnsiTheme="majorHAnsi" w:cstheme="majorHAnsi"/>
        </w:rPr>
        <w:t>Create a culture that recognises, respects, values and harnesses differences for the benefit of the company and its users</w:t>
      </w:r>
      <w:r w:rsidR="005C518F">
        <w:rPr>
          <w:rFonts w:asciiTheme="majorHAnsi" w:hAnsiTheme="majorHAnsi" w:cstheme="majorHAnsi"/>
        </w:rPr>
        <w:t>.</w:t>
      </w:r>
    </w:p>
    <w:p w:rsidR="00155C88" w:rsidRPr="00EE6425" w:rsidRDefault="00155C88" w:rsidP="00155C88">
      <w:pPr>
        <w:spacing w:after="0" w:line="240" w:lineRule="auto"/>
        <w:jc w:val="both"/>
        <w:rPr>
          <w:rFonts w:asciiTheme="majorHAnsi" w:hAnsiTheme="majorHAnsi" w:cstheme="majorHAnsi"/>
        </w:rPr>
      </w:pPr>
    </w:p>
    <w:p w:rsidR="00155C88" w:rsidRPr="00EE6425" w:rsidRDefault="00155C88" w:rsidP="00155C88">
      <w:pPr>
        <w:numPr>
          <w:ilvl w:val="0"/>
          <w:numId w:val="8"/>
        </w:numPr>
        <w:spacing w:after="0" w:line="240" w:lineRule="auto"/>
        <w:jc w:val="both"/>
        <w:rPr>
          <w:rFonts w:asciiTheme="majorHAnsi" w:hAnsiTheme="majorHAnsi" w:cstheme="majorHAnsi"/>
        </w:rPr>
      </w:pPr>
      <w:r w:rsidRPr="00EE6425">
        <w:rPr>
          <w:rFonts w:asciiTheme="majorHAnsi" w:hAnsiTheme="majorHAnsi" w:cstheme="majorHAnsi"/>
        </w:rPr>
        <w:t xml:space="preserve">Ensure that new employees are made familiar with </w:t>
      </w:r>
      <w:r w:rsidR="00D36891">
        <w:rPr>
          <w:rFonts w:asciiTheme="majorHAnsi" w:hAnsiTheme="majorHAnsi" w:cstheme="majorHAnsi"/>
        </w:rPr>
        <w:t>this</w:t>
      </w:r>
      <w:r w:rsidR="00D36891" w:rsidRPr="00EE6425">
        <w:rPr>
          <w:rFonts w:asciiTheme="majorHAnsi" w:hAnsiTheme="majorHAnsi" w:cstheme="majorHAnsi"/>
        </w:rPr>
        <w:t xml:space="preserve"> </w:t>
      </w:r>
      <w:r w:rsidRPr="00EE6425">
        <w:rPr>
          <w:rFonts w:asciiTheme="majorHAnsi" w:hAnsiTheme="majorHAnsi" w:cstheme="majorHAnsi"/>
        </w:rPr>
        <w:t>policy</w:t>
      </w:r>
      <w:r w:rsidR="00D36891">
        <w:rPr>
          <w:rFonts w:asciiTheme="majorHAnsi" w:hAnsiTheme="majorHAnsi" w:cstheme="majorHAnsi"/>
        </w:rPr>
        <w:t xml:space="preserve"> and our commitment to Diversity and Inclusion</w:t>
      </w:r>
      <w:r w:rsidRPr="00EE6425">
        <w:rPr>
          <w:rFonts w:asciiTheme="majorHAnsi" w:hAnsiTheme="majorHAnsi" w:cstheme="majorHAnsi"/>
        </w:rPr>
        <w:t xml:space="preserve"> upon recruitment/onboarding</w:t>
      </w:r>
      <w:r w:rsidR="005C518F">
        <w:rPr>
          <w:rFonts w:asciiTheme="majorHAnsi" w:hAnsiTheme="majorHAnsi" w:cstheme="majorHAnsi"/>
        </w:rPr>
        <w:t>.</w:t>
      </w:r>
    </w:p>
    <w:p w:rsidR="00155C88" w:rsidRPr="00EE6425" w:rsidRDefault="00155C88" w:rsidP="00155C88">
      <w:pPr>
        <w:spacing w:after="0" w:line="240" w:lineRule="auto"/>
        <w:jc w:val="both"/>
        <w:rPr>
          <w:rFonts w:asciiTheme="majorHAnsi" w:hAnsiTheme="majorHAnsi" w:cstheme="majorHAnsi"/>
        </w:rPr>
      </w:pPr>
    </w:p>
    <w:p w:rsidR="00155C88" w:rsidRPr="00EE6425" w:rsidRDefault="00155C88" w:rsidP="00155C88">
      <w:pPr>
        <w:numPr>
          <w:ilvl w:val="0"/>
          <w:numId w:val="8"/>
        </w:numPr>
        <w:spacing w:after="0" w:line="240" w:lineRule="auto"/>
        <w:jc w:val="both"/>
        <w:rPr>
          <w:rFonts w:asciiTheme="majorHAnsi" w:hAnsiTheme="majorHAnsi" w:cstheme="majorHAnsi"/>
        </w:rPr>
      </w:pPr>
      <w:r w:rsidRPr="00EE6425">
        <w:rPr>
          <w:rFonts w:asciiTheme="majorHAnsi" w:hAnsiTheme="majorHAnsi" w:cstheme="majorHAnsi"/>
        </w:rPr>
        <w:t xml:space="preserve">Ensure all employees complete Equality and Diversity Training on </w:t>
      </w:r>
      <w:r w:rsidR="00D36891">
        <w:rPr>
          <w:rFonts w:asciiTheme="majorHAnsi" w:hAnsiTheme="majorHAnsi" w:cstheme="majorHAnsi"/>
        </w:rPr>
        <w:t>Learning Hub</w:t>
      </w:r>
      <w:r w:rsidR="005C518F">
        <w:rPr>
          <w:rFonts w:asciiTheme="majorHAnsi" w:hAnsiTheme="majorHAnsi" w:cstheme="majorHAnsi"/>
        </w:rPr>
        <w:t>.</w:t>
      </w:r>
      <w:r w:rsidR="00D36891" w:rsidRPr="00EE6425">
        <w:rPr>
          <w:rFonts w:asciiTheme="majorHAnsi" w:hAnsiTheme="majorHAnsi" w:cstheme="majorHAnsi"/>
        </w:rPr>
        <w:t xml:space="preserve"> </w:t>
      </w:r>
    </w:p>
    <w:p w:rsidR="00155C88" w:rsidRPr="00EE6425" w:rsidRDefault="00155C88" w:rsidP="00155C88">
      <w:pPr>
        <w:spacing w:after="0" w:line="240" w:lineRule="auto"/>
        <w:jc w:val="both"/>
        <w:rPr>
          <w:rFonts w:asciiTheme="majorHAnsi" w:hAnsiTheme="majorHAnsi" w:cstheme="majorHAnsi"/>
        </w:rPr>
      </w:pPr>
    </w:p>
    <w:p w:rsidR="00155C88" w:rsidRPr="00EE6425" w:rsidRDefault="00155C88" w:rsidP="00155C88">
      <w:pPr>
        <w:pStyle w:val="ListParagraph"/>
        <w:numPr>
          <w:ilvl w:val="0"/>
          <w:numId w:val="8"/>
        </w:numPr>
        <w:spacing w:after="0" w:line="276" w:lineRule="auto"/>
        <w:jc w:val="both"/>
        <w:rPr>
          <w:rFonts w:asciiTheme="majorHAnsi" w:hAnsiTheme="majorHAnsi" w:cstheme="majorHAnsi"/>
          <w:lang w:val="en-US"/>
        </w:rPr>
      </w:pPr>
      <w:r w:rsidRPr="00EE6425">
        <w:rPr>
          <w:rFonts w:asciiTheme="majorHAnsi" w:hAnsiTheme="majorHAnsi" w:cstheme="majorHAnsi"/>
        </w:rPr>
        <w:t xml:space="preserve">Have in place suitable employee recruitment procedures that promote equal opportunities and ensure that employees have equal access to professional development opportunities; ensure </w:t>
      </w:r>
      <w:r w:rsidRPr="00EE6425">
        <w:rPr>
          <w:rFonts w:asciiTheme="majorHAnsi" w:hAnsiTheme="majorHAnsi" w:cstheme="majorHAnsi"/>
        </w:rPr>
        <w:lastRenderedPageBreak/>
        <w:t xml:space="preserve">that there is no discrimination against employees or eligible applicants for posts on the grounds of </w:t>
      </w:r>
      <w:r w:rsidRPr="00EE6425">
        <w:rPr>
          <w:rFonts w:asciiTheme="majorHAnsi" w:hAnsiTheme="majorHAnsi" w:cstheme="majorHAnsi"/>
          <w:color w:val="333333"/>
          <w:lang w:val="en"/>
        </w:rPr>
        <w:t>a protected characteristic.</w:t>
      </w:r>
    </w:p>
    <w:p w:rsidR="00155C88" w:rsidRPr="00EE6425" w:rsidRDefault="00155C88" w:rsidP="00155C88">
      <w:pPr>
        <w:ind w:left="360"/>
        <w:jc w:val="both"/>
        <w:rPr>
          <w:rFonts w:asciiTheme="majorHAnsi" w:hAnsiTheme="majorHAnsi" w:cstheme="majorHAnsi"/>
          <w:lang w:val="en-US"/>
        </w:rPr>
      </w:pPr>
    </w:p>
    <w:p w:rsidR="00220EB6" w:rsidRDefault="00220EB6" w:rsidP="00220EB6">
      <w:pPr>
        <w:spacing w:after="0" w:line="240" w:lineRule="auto"/>
        <w:rPr>
          <w:rFonts w:asciiTheme="majorHAnsi" w:hAnsiTheme="majorHAnsi" w:cstheme="majorHAnsi"/>
          <w:b/>
          <w:sz w:val="24"/>
        </w:rPr>
      </w:pPr>
      <w:r>
        <w:rPr>
          <w:rFonts w:asciiTheme="majorHAnsi" w:hAnsiTheme="majorHAnsi" w:cstheme="majorHAnsi"/>
          <w:b/>
          <w:sz w:val="24"/>
        </w:rPr>
        <w:t>3</w:t>
      </w:r>
      <w:r w:rsidRPr="00EE6425">
        <w:rPr>
          <w:rFonts w:asciiTheme="majorHAnsi" w:hAnsiTheme="majorHAnsi" w:cstheme="majorHAnsi"/>
          <w:b/>
          <w:sz w:val="24"/>
        </w:rPr>
        <w:t xml:space="preserve">. </w:t>
      </w:r>
      <w:r>
        <w:rPr>
          <w:rFonts w:asciiTheme="majorHAnsi" w:hAnsiTheme="majorHAnsi" w:cstheme="majorHAnsi"/>
          <w:b/>
          <w:sz w:val="24"/>
        </w:rPr>
        <w:t xml:space="preserve"> </w:t>
      </w:r>
      <w:r w:rsidR="00DF47ED">
        <w:rPr>
          <w:rFonts w:asciiTheme="majorHAnsi" w:hAnsiTheme="majorHAnsi" w:cstheme="majorHAnsi"/>
          <w:b/>
          <w:sz w:val="24"/>
        </w:rPr>
        <w:t>REFERENCES</w:t>
      </w:r>
      <w:r>
        <w:rPr>
          <w:rFonts w:asciiTheme="majorHAnsi" w:hAnsiTheme="majorHAnsi" w:cstheme="majorHAnsi"/>
          <w:b/>
          <w:sz w:val="24"/>
        </w:rPr>
        <w:t xml:space="preserve"> </w:t>
      </w:r>
    </w:p>
    <w:p w:rsidR="00220EB6" w:rsidRPr="00504629" w:rsidRDefault="00220EB6" w:rsidP="00220EB6">
      <w:pPr>
        <w:spacing w:after="0" w:line="240" w:lineRule="auto"/>
        <w:rPr>
          <w:rFonts w:asciiTheme="majorHAnsi" w:hAnsiTheme="majorHAnsi" w:cstheme="majorHAnsi"/>
        </w:rPr>
      </w:pPr>
      <w:r w:rsidRPr="00504629">
        <w:rPr>
          <w:rFonts w:asciiTheme="majorHAnsi" w:hAnsiTheme="majorHAnsi" w:cstheme="majorHAnsi"/>
          <w:b/>
        </w:rPr>
        <w:t xml:space="preserve">     </w:t>
      </w:r>
      <w:r w:rsidR="00504629">
        <w:rPr>
          <w:rFonts w:asciiTheme="majorHAnsi" w:hAnsiTheme="majorHAnsi" w:cstheme="majorHAnsi"/>
          <w:b/>
        </w:rPr>
        <w:t xml:space="preserve"> </w:t>
      </w:r>
      <w:hyperlink r:id="rId9" w:history="1">
        <w:r w:rsidR="00504629" w:rsidRPr="00504629">
          <w:rPr>
            <w:rStyle w:val="Hyperlink"/>
            <w:rFonts w:asciiTheme="majorHAnsi" w:hAnsiTheme="majorHAnsi" w:cstheme="majorHAnsi"/>
          </w:rPr>
          <w:t>Equality Act 2010</w:t>
        </w:r>
      </w:hyperlink>
      <w:r w:rsidR="00504629" w:rsidRPr="00504629">
        <w:rPr>
          <w:rFonts w:asciiTheme="majorHAnsi" w:hAnsiTheme="majorHAnsi" w:cstheme="majorHAnsi"/>
        </w:rPr>
        <w:t xml:space="preserve"> </w:t>
      </w:r>
    </w:p>
    <w:p w:rsidR="00220EB6" w:rsidRDefault="00504629" w:rsidP="00220EB6">
      <w:pPr>
        <w:spacing w:after="0" w:line="240" w:lineRule="auto"/>
        <w:rPr>
          <w:rFonts w:asciiTheme="majorHAnsi" w:hAnsiTheme="majorHAnsi" w:cstheme="majorHAnsi"/>
        </w:rPr>
      </w:pPr>
      <w:r>
        <w:rPr>
          <w:rFonts w:asciiTheme="majorHAnsi" w:hAnsiTheme="majorHAnsi" w:cstheme="majorHAnsi"/>
        </w:rPr>
        <w:t xml:space="preserve">      </w:t>
      </w:r>
      <w:hyperlink r:id="rId10" w:history="1">
        <w:r w:rsidRPr="00504629">
          <w:rPr>
            <w:rStyle w:val="Hyperlink"/>
            <w:rFonts w:asciiTheme="majorHAnsi" w:hAnsiTheme="majorHAnsi" w:cstheme="majorHAnsi"/>
          </w:rPr>
          <w:t>Protection from Harassment Act 1997</w:t>
        </w:r>
      </w:hyperlink>
    </w:p>
    <w:p w:rsidR="00504629" w:rsidRDefault="00504629" w:rsidP="00220EB6">
      <w:pPr>
        <w:spacing w:after="0" w:line="240" w:lineRule="auto"/>
        <w:rPr>
          <w:rFonts w:asciiTheme="majorHAnsi" w:hAnsiTheme="majorHAnsi" w:cstheme="majorHAnsi"/>
          <w:sz w:val="24"/>
        </w:rPr>
      </w:pPr>
    </w:p>
    <w:p w:rsidR="00220EB6" w:rsidRDefault="00220EB6" w:rsidP="00220EB6">
      <w:pPr>
        <w:spacing w:after="0" w:line="240" w:lineRule="auto"/>
        <w:rPr>
          <w:rFonts w:asciiTheme="majorHAnsi" w:hAnsiTheme="majorHAnsi" w:cstheme="majorHAnsi"/>
          <w:b/>
          <w:sz w:val="24"/>
        </w:rPr>
      </w:pPr>
      <w:r>
        <w:rPr>
          <w:rFonts w:asciiTheme="majorHAnsi" w:hAnsiTheme="majorHAnsi" w:cstheme="majorHAnsi"/>
          <w:b/>
          <w:sz w:val="24"/>
        </w:rPr>
        <w:t>4</w:t>
      </w:r>
      <w:r w:rsidRPr="00EE6425">
        <w:rPr>
          <w:rFonts w:asciiTheme="majorHAnsi" w:hAnsiTheme="majorHAnsi" w:cstheme="majorHAnsi"/>
          <w:b/>
          <w:sz w:val="24"/>
        </w:rPr>
        <w:t xml:space="preserve">. </w:t>
      </w:r>
      <w:r>
        <w:rPr>
          <w:rFonts w:asciiTheme="majorHAnsi" w:hAnsiTheme="majorHAnsi" w:cstheme="majorHAnsi"/>
          <w:b/>
          <w:sz w:val="24"/>
        </w:rPr>
        <w:t xml:space="preserve"> </w:t>
      </w:r>
      <w:r w:rsidR="00DF47ED">
        <w:rPr>
          <w:rFonts w:asciiTheme="majorHAnsi" w:hAnsiTheme="majorHAnsi" w:cstheme="majorHAnsi"/>
          <w:b/>
          <w:sz w:val="24"/>
        </w:rPr>
        <w:t>ASSOCIATED FORMS</w:t>
      </w:r>
    </w:p>
    <w:p w:rsidR="00220EB6" w:rsidRDefault="00220EB6" w:rsidP="00220EB6">
      <w:pPr>
        <w:spacing w:after="0" w:line="240" w:lineRule="auto"/>
        <w:rPr>
          <w:rFonts w:asciiTheme="majorHAnsi" w:hAnsiTheme="majorHAnsi" w:cstheme="majorHAnsi"/>
          <w:sz w:val="24"/>
        </w:rPr>
      </w:pPr>
      <w:r>
        <w:rPr>
          <w:rFonts w:asciiTheme="majorHAnsi" w:hAnsiTheme="majorHAnsi" w:cstheme="majorHAnsi"/>
          <w:b/>
          <w:sz w:val="24"/>
        </w:rPr>
        <w:t xml:space="preserve">     </w:t>
      </w:r>
      <w:r w:rsidRPr="00220EB6">
        <w:rPr>
          <w:rFonts w:asciiTheme="majorHAnsi" w:hAnsiTheme="majorHAnsi" w:cstheme="majorHAnsi"/>
          <w:sz w:val="24"/>
        </w:rPr>
        <w:t>None</w:t>
      </w:r>
    </w:p>
    <w:p w:rsidR="00220EB6" w:rsidRDefault="00220EB6" w:rsidP="00220EB6">
      <w:pPr>
        <w:spacing w:after="0" w:line="240" w:lineRule="auto"/>
        <w:rPr>
          <w:rFonts w:asciiTheme="majorHAnsi" w:hAnsiTheme="majorHAnsi" w:cstheme="majorHAnsi"/>
          <w:sz w:val="24"/>
        </w:rPr>
      </w:pPr>
    </w:p>
    <w:p w:rsidR="00220EB6" w:rsidRDefault="00220EB6" w:rsidP="00220EB6">
      <w:pPr>
        <w:spacing w:after="0" w:line="240" w:lineRule="auto"/>
        <w:rPr>
          <w:rFonts w:asciiTheme="majorHAnsi" w:hAnsiTheme="majorHAnsi" w:cstheme="majorHAnsi"/>
          <w:b/>
          <w:sz w:val="24"/>
        </w:rPr>
      </w:pPr>
      <w:r>
        <w:rPr>
          <w:rFonts w:asciiTheme="majorHAnsi" w:hAnsiTheme="majorHAnsi" w:cstheme="majorHAnsi"/>
          <w:b/>
          <w:sz w:val="24"/>
        </w:rPr>
        <w:t>5</w:t>
      </w:r>
      <w:r w:rsidRPr="00EE6425">
        <w:rPr>
          <w:rFonts w:asciiTheme="majorHAnsi" w:hAnsiTheme="majorHAnsi" w:cstheme="majorHAnsi"/>
          <w:b/>
          <w:sz w:val="24"/>
        </w:rPr>
        <w:t xml:space="preserve">. </w:t>
      </w:r>
      <w:r>
        <w:rPr>
          <w:rFonts w:asciiTheme="majorHAnsi" w:hAnsiTheme="majorHAnsi" w:cstheme="majorHAnsi"/>
          <w:b/>
          <w:sz w:val="24"/>
        </w:rPr>
        <w:t xml:space="preserve"> </w:t>
      </w:r>
      <w:r w:rsidR="00DF47ED">
        <w:rPr>
          <w:rFonts w:asciiTheme="majorHAnsi" w:hAnsiTheme="majorHAnsi" w:cstheme="majorHAnsi"/>
          <w:b/>
          <w:sz w:val="24"/>
        </w:rPr>
        <w:t>APPENDICES</w:t>
      </w:r>
    </w:p>
    <w:p w:rsidR="00220EB6" w:rsidRDefault="00220EB6" w:rsidP="00220EB6">
      <w:pPr>
        <w:spacing w:after="0" w:line="240" w:lineRule="auto"/>
        <w:rPr>
          <w:rFonts w:asciiTheme="majorHAnsi" w:hAnsiTheme="majorHAnsi" w:cstheme="majorHAnsi"/>
          <w:sz w:val="24"/>
        </w:rPr>
      </w:pPr>
      <w:r>
        <w:rPr>
          <w:rFonts w:asciiTheme="majorHAnsi" w:hAnsiTheme="majorHAnsi" w:cstheme="majorHAnsi"/>
          <w:b/>
          <w:sz w:val="24"/>
        </w:rPr>
        <w:t xml:space="preserve">     </w:t>
      </w:r>
      <w:r w:rsidRPr="00220EB6">
        <w:rPr>
          <w:rFonts w:asciiTheme="majorHAnsi" w:hAnsiTheme="majorHAnsi" w:cstheme="majorHAnsi"/>
          <w:sz w:val="24"/>
        </w:rPr>
        <w:t>None</w:t>
      </w:r>
    </w:p>
    <w:p w:rsidR="00220EB6" w:rsidRPr="00220EB6" w:rsidRDefault="00220EB6" w:rsidP="00220EB6">
      <w:pPr>
        <w:spacing w:after="0" w:line="240" w:lineRule="auto"/>
        <w:rPr>
          <w:rFonts w:asciiTheme="majorHAnsi" w:hAnsiTheme="majorHAnsi" w:cstheme="majorHAnsi"/>
          <w:sz w:val="24"/>
        </w:rPr>
      </w:pPr>
      <w:r w:rsidRPr="00220EB6">
        <w:rPr>
          <w:rFonts w:asciiTheme="majorHAnsi" w:hAnsiTheme="majorHAnsi" w:cstheme="majorHAnsi"/>
          <w:sz w:val="24"/>
        </w:rPr>
        <w:tab/>
      </w:r>
    </w:p>
    <w:p w:rsidR="00155C88" w:rsidRPr="00155C88" w:rsidRDefault="00155C88" w:rsidP="00155C88">
      <w:pPr>
        <w:rPr>
          <w:b/>
        </w:rPr>
      </w:pPr>
      <w:r w:rsidRPr="00EE6425">
        <w:rPr>
          <w:rFonts w:asciiTheme="majorHAnsi" w:hAnsiTheme="majorHAnsi" w:cstheme="majorHAnsi"/>
          <w:b/>
        </w:rPr>
        <w:tab/>
      </w:r>
      <w:r w:rsidRPr="00EE6425">
        <w:rPr>
          <w:rFonts w:asciiTheme="majorHAnsi" w:hAnsiTheme="majorHAnsi" w:cstheme="majorHAnsi"/>
          <w:b/>
        </w:rPr>
        <w:tab/>
      </w:r>
      <w:r w:rsidRPr="00EE6425">
        <w:rPr>
          <w:rFonts w:asciiTheme="majorHAnsi" w:hAnsiTheme="majorHAnsi" w:cstheme="majorHAnsi"/>
          <w:b/>
        </w:rPr>
        <w:tab/>
      </w:r>
      <w:r w:rsidRPr="00EE6425">
        <w:rPr>
          <w:rFonts w:asciiTheme="majorHAnsi" w:hAnsiTheme="majorHAnsi" w:cstheme="majorHAnsi"/>
          <w:b/>
        </w:rPr>
        <w:tab/>
      </w:r>
      <w:r w:rsidRPr="00EE6425">
        <w:rPr>
          <w:rFonts w:asciiTheme="majorHAnsi" w:hAnsiTheme="majorHAnsi" w:cstheme="majorHAnsi"/>
          <w:b/>
        </w:rPr>
        <w:tab/>
      </w:r>
      <w:r w:rsidRPr="00EE6425">
        <w:rPr>
          <w:rFonts w:asciiTheme="majorHAnsi" w:hAnsiTheme="majorHAnsi" w:cstheme="majorHAnsi"/>
          <w:b/>
        </w:rPr>
        <w:tab/>
      </w:r>
      <w:r w:rsidRPr="00EE6425">
        <w:rPr>
          <w:rFonts w:asciiTheme="majorHAnsi" w:hAnsiTheme="majorHAnsi" w:cstheme="majorHAnsi"/>
          <w:b/>
        </w:rPr>
        <w:tab/>
      </w:r>
      <w:r w:rsidRPr="00155C88">
        <w:rPr>
          <w:b/>
        </w:rPr>
        <w:tab/>
      </w:r>
    </w:p>
    <w:sectPr w:rsidR="00155C88" w:rsidRPr="00155C88" w:rsidSect="00567134">
      <w:footerReference w:type="default" r:id="rId11"/>
      <w:pgSz w:w="11906" w:h="16838"/>
      <w:pgMar w:top="567" w:right="1304" w:bottom="1304" w:left="144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5B3" w:rsidRDefault="003E15B3" w:rsidP="00C570BA">
      <w:pPr>
        <w:spacing w:after="0" w:line="240" w:lineRule="auto"/>
      </w:pPr>
      <w:r>
        <w:separator/>
      </w:r>
    </w:p>
  </w:endnote>
  <w:endnote w:type="continuationSeparator" w:id="0">
    <w:p w:rsidR="003E15B3" w:rsidRDefault="003E15B3" w:rsidP="00C5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636343"/>
      <w:docPartObj>
        <w:docPartGallery w:val="Page Numbers (Bottom of Page)"/>
        <w:docPartUnique/>
      </w:docPartObj>
    </w:sdtPr>
    <w:sdtEndPr>
      <w:rPr>
        <w:noProof/>
      </w:rPr>
    </w:sdtEndPr>
    <w:sdtContent>
      <w:p w:rsidR="00567134" w:rsidRDefault="00567134">
        <w:pPr>
          <w:pStyle w:val="Footer"/>
          <w:jc w:val="right"/>
        </w:pPr>
      </w:p>
      <w:tbl>
        <w:tblPr>
          <w:tblStyle w:val="TableGrid"/>
          <w:tblW w:w="10915" w:type="dxa"/>
          <w:tblInd w:w="-952" w:type="dxa"/>
          <w:tblLook w:val="04A0" w:firstRow="1" w:lastRow="0" w:firstColumn="1" w:lastColumn="0" w:noHBand="0" w:noVBand="1"/>
        </w:tblPr>
        <w:tblGrid>
          <w:gridCol w:w="3357"/>
          <w:gridCol w:w="3119"/>
          <w:gridCol w:w="1984"/>
          <w:gridCol w:w="2455"/>
        </w:tblGrid>
        <w:tr w:rsidR="00567134" w:rsidTr="00F81C57">
          <w:tc>
            <w:tcPr>
              <w:tcW w:w="3357" w:type="dxa"/>
            </w:tcPr>
            <w:p w:rsidR="00567134" w:rsidRDefault="00567134" w:rsidP="00DF47ED">
              <w:pPr>
                <w:pStyle w:val="Footer"/>
                <w:jc w:val="right"/>
              </w:pPr>
              <w:r>
                <w:t xml:space="preserve">Document Number: </w:t>
              </w:r>
              <w:r w:rsidR="002679F8">
                <w:rPr>
                  <w:color w:val="000000"/>
                  <w:lang w:eastAsia="en-GB"/>
                </w:rPr>
                <w:t>HRP08</w:t>
              </w:r>
            </w:p>
          </w:tc>
          <w:tc>
            <w:tcPr>
              <w:tcW w:w="3119" w:type="dxa"/>
            </w:tcPr>
            <w:p w:rsidR="00567134" w:rsidRDefault="00567134" w:rsidP="00567134">
              <w:pPr>
                <w:pStyle w:val="Footer"/>
                <w:jc w:val="right"/>
              </w:pPr>
              <w:r>
                <w:t>Issue Date:</w:t>
              </w:r>
            </w:p>
          </w:tc>
          <w:tc>
            <w:tcPr>
              <w:tcW w:w="1984" w:type="dxa"/>
            </w:tcPr>
            <w:p w:rsidR="00567134" w:rsidRDefault="00220EB6" w:rsidP="00567134">
              <w:pPr>
                <w:pStyle w:val="Footer"/>
                <w:jc w:val="right"/>
              </w:pPr>
              <w:r>
                <w:t>SEPT 2023</w:t>
              </w:r>
            </w:p>
          </w:tc>
          <w:tc>
            <w:tcPr>
              <w:tcW w:w="2455" w:type="dxa"/>
            </w:tcPr>
            <w:p w:rsidR="00567134" w:rsidRDefault="00567134" w:rsidP="00567134">
              <w:pPr>
                <w:pStyle w:val="Footer"/>
                <w:jc w:val="right"/>
              </w:pPr>
              <w:r>
                <w:t>Version Number: 01</w:t>
              </w:r>
            </w:p>
          </w:tc>
        </w:tr>
        <w:tr w:rsidR="00567134" w:rsidTr="00F81C57">
          <w:tc>
            <w:tcPr>
              <w:tcW w:w="3357" w:type="dxa"/>
            </w:tcPr>
            <w:p w:rsidR="00567134" w:rsidRDefault="00567134" w:rsidP="00220EB6">
              <w:pPr>
                <w:pStyle w:val="Footer"/>
                <w:jc w:val="right"/>
              </w:pPr>
              <w:r w:rsidRPr="003C6C02">
                <w:t>Status:</w:t>
              </w:r>
              <w:r w:rsidRPr="003F2075">
                <w:t xml:space="preserve"> </w:t>
              </w:r>
              <w:r w:rsidR="00220EB6" w:rsidRPr="00220EB6">
                <w:rPr>
                  <w:b/>
                </w:rPr>
                <w:t>Final</w:t>
              </w:r>
            </w:p>
          </w:tc>
          <w:tc>
            <w:tcPr>
              <w:tcW w:w="3119" w:type="dxa"/>
            </w:tcPr>
            <w:p w:rsidR="00567134" w:rsidRDefault="00567134" w:rsidP="00567134">
              <w:pPr>
                <w:pStyle w:val="Footer"/>
                <w:jc w:val="right"/>
              </w:pPr>
              <w:r w:rsidRPr="003C6C02">
                <w:t>Next Review Date:</w:t>
              </w:r>
            </w:p>
          </w:tc>
          <w:tc>
            <w:tcPr>
              <w:tcW w:w="1984" w:type="dxa"/>
            </w:tcPr>
            <w:p w:rsidR="00567134" w:rsidRDefault="00220EB6" w:rsidP="00220EB6">
              <w:pPr>
                <w:pStyle w:val="Footer"/>
                <w:jc w:val="right"/>
              </w:pPr>
              <w:r>
                <w:t>JULY 2025</w:t>
              </w:r>
            </w:p>
          </w:tc>
          <w:tc>
            <w:tcPr>
              <w:tcW w:w="2455" w:type="dxa"/>
            </w:tcPr>
            <w:p w:rsidR="00567134" w:rsidRDefault="00567134" w:rsidP="00567134">
              <w:pPr>
                <w:pStyle w:val="Footer"/>
                <w:jc w:val="right"/>
              </w:pPr>
              <w:r>
                <w:t xml:space="preserve">Page | </w:t>
              </w:r>
              <w:r>
                <w:fldChar w:fldCharType="begin"/>
              </w:r>
              <w:r>
                <w:instrText xml:space="preserve"> PAGE   \* MERGEFORMAT </w:instrText>
              </w:r>
              <w:r>
                <w:fldChar w:fldCharType="separate"/>
              </w:r>
              <w:r w:rsidR="00F81C57">
                <w:rPr>
                  <w:noProof/>
                </w:rPr>
                <w:t>4</w:t>
              </w:r>
              <w:r>
                <w:rPr>
                  <w:noProof/>
                </w:rPr>
                <w:fldChar w:fldCharType="end"/>
              </w:r>
            </w:p>
          </w:tc>
        </w:tr>
        <w:tr w:rsidR="00567134" w:rsidTr="00F81C57">
          <w:tc>
            <w:tcPr>
              <w:tcW w:w="3357" w:type="dxa"/>
            </w:tcPr>
            <w:p w:rsidR="00567134" w:rsidRPr="003C6C02" w:rsidRDefault="00567134" w:rsidP="00F81C57">
              <w:pPr>
                <w:pStyle w:val="Footer"/>
                <w:jc w:val="right"/>
              </w:pPr>
              <w:r>
                <w:t>Linked to Policy Number:</w:t>
              </w:r>
            </w:p>
          </w:tc>
          <w:tc>
            <w:tcPr>
              <w:tcW w:w="3119" w:type="dxa"/>
            </w:tcPr>
            <w:p w:rsidR="00567134" w:rsidRPr="003C6C02" w:rsidRDefault="00F81C57" w:rsidP="00567134">
              <w:pPr>
                <w:pStyle w:val="Footer"/>
                <w:jc w:val="right"/>
              </w:pPr>
              <w:r>
                <w:t>HR P03, HR P10, HR P05, HR P24</w:t>
              </w:r>
            </w:p>
          </w:tc>
          <w:tc>
            <w:tcPr>
              <w:tcW w:w="1984" w:type="dxa"/>
            </w:tcPr>
            <w:p w:rsidR="00567134" w:rsidRDefault="00567134" w:rsidP="00567134">
              <w:pPr>
                <w:pStyle w:val="Footer"/>
                <w:jc w:val="right"/>
              </w:pPr>
            </w:p>
          </w:tc>
          <w:tc>
            <w:tcPr>
              <w:tcW w:w="2455" w:type="dxa"/>
            </w:tcPr>
            <w:p w:rsidR="00567134" w:rsidRDefault="00567134" w:rsidP="00567134">
              <w:pPr>
                <w:pStyle w:val="Footer"/>
                <w:jc w:val="right"/>
              </w:pPr>
            </w:p>
          </w:tc>
        </w:tr>
      </w:tbl>
      <w:p w:rsidR="00CE4B28" w:rsidRDefault="00CE4B28">
        <w:pPr>
          <w:pStyle w:val="Footer"/>
          <w:jc w:val="right"/>
        </w:pPr>
      </w:p>
      <w:p w:rsidR="00BD7E93" w:rsidRDefault="00BD7E93">
        <w:pPr>
          <w:pStyle w:val="Footer"/>
          <w:jc w:val="right"/>
        </w:pPr>
        <w:r>
          <w:tab/>
        </w:r>
        <w:r>
          <w:tab/>
        </w:r>
      </w:p>
    </w:sdtContent>
  </w:sdt>
  <w:p w:rsidR="00C570BA" w:rsidRDefault="00C57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5B3" w:rsidRDefault="003E15B3" w:rsidP="00C570BA">
      <w:pPr>
        <w:spacing w:after="0" w:line="240" w:lineRule="auto"/>
      </w:pPr>
      <w:r>
        <w:separator/>
      </w:r>
    </w:p>
  </w:footnote>
  <w:footnote w:type="continuationSeparator" w:id="0">
    <w:p w:rsidR="003E15B3" w:rsidRDefault="003E15B3" w:rsidP="00C57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A52"/>
    <w:multiLevelType w:val="hybridMultilevel"/>
    <w:tmpl w:val="B43E26E6"/>
    <w:lvl w:ilvl="0" w:tplc="CE2615C0">
      <w:start w:val="1"/>
      <w:numFmt w:val="decimal"/>
      <w:suff w:val="nothing"/>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755EB6"/>
    <w:multiLevelType w:val="hybridMultilevel"/>
    <w:tmpl w:val="503C86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B038A8"/>
    <w:multiLevelType w:val="hybridMultilevel"/>
    <w:tmpl w:val="6C987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26507"/>
    <w:multiLevelType w:val="hybridMultilevel"/>
    <w:tmpl w:val="864A41B2"/>
    <w:lvl w:ilvl="0" w:tplc="67F0D068">
      <w:start w:val="1"/>
      <w:numFmt w:val="bullet"/>
      <w:lvlText w:val=""/>
      <w:lvlJc w:val="left"/>
      <w:pPr>
        <w:tabs>
          <w:tab w:val="num" w:pos="720"/>
        </w:tabs>
        <w:ind w:left="72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4E6520"/>
    <w:multiLevelType w:val="hybridMultilevel"/>
    <w:tmpl w:val="F7841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E66867"/>
    <w:multiLevelType w:val="hybridMultilevel"/>
    <w:tmpl w:val="601EC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04709F"/>
    <w:multiLevelType w:val="hybridMultilevel"/>
    <w:tmpl w:val="B6F8F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473140"/>
    <w:multiLevelType w:val="hybridMultilevel"/>
    <w:tmpl w:val="5D92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AB3D72"/>
    <w:multiLevelType w:val="hybridMultilevel"/>
    <w:tmpl w:val="43F68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C544D3"/>
    <w:multiLevelType w:val="hybridMultilevel"/>
    <w:tmpl w:val="7986AB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4"/>
  </w:num>
  <w:num w:numId="3">
    <w:abstractNumId w:val="0"/>
  </w:num>
  <w:num w:numId="4">
    <w:abstractNumId w:val="9"/>
  </w:num>
  <w:num w:numId="5">
    <w:abstractNumId w:val="2"/>
  </w:num>
  <w:num w:numId="6">
    <w:abstractNumId w:val="5"/>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BA"/>
    <w:rsid w:val="0004035E"/>
    <w:rsid w:val="00041E0B"/>
    <w:rsid w:val="0008710C"/>
    <w:rsid w:val="000E0801"/>
    <w:rsid w:val="00155C88"/>
    <w:rsid w:val="001F5489"/>
    <w:rsid w:val="0020426A"/>
    <w:rsid w:val="00220EB6"/>
    <w:rsid w:val="00241F22"/>
    <w:rsid w:val="002538FC"/>
    <w:rsid w:val="002679F8"/>
    <w:rsid w:val="002F3F7F"/>
    <w:rsid w:val="00331D56"/>
    <w:rsid w:val="003B468D"/>
    <w:rsid w:val="003E15B3"/>
    <w:rsid w:val="003E4F49"/>
    <w:rsid w:val="00501024"/>
    <w:rsid w:val="00502B18"/>
    <w:rsid w:val="00504629"/>
    <w:rsid w:val="00506337"/>
    <w:rsid w:val="00567134"/>
    <w:rsid w:val="0057331D"/>
    <w:rsid w:val="00573F37"/>
    <w:rsid w:val="005C518F"/>
    <w:rsid w:val="00607A1B"/>
    <w:rsid w:val="00632BAB"/>
    <w:rsid w:val="0064090F"/>
    <w:rsid w:val="007316FB"/>
    <w:rsid w:val="00747D37"/>
    <w:rsid w:val="00774F27"/>
    <w:rsid w:val="007D42BB"/>
    <w:rsid w:val="008C0343"/>
    <w:rsid w:val="009F0A11"/>
    <w:rsid w:val="00A141DC"/>
    <w:rsid w:val="00A33B77"/>
    <w:rsid w:val="00A95C34"/>
    <w:rsid w:val="00AC64B6"/>
    <w:rsid w:val="00AD3B15"/>
    <w:rsid w:val="00B07BC0"/>
    <w:rsid w:val="00B576D4"/>
    <w:rsid w:val="00B76AA6"/>
    <w:rsid w:val="00BD7E93"/>
    <w:rsid w:val="00C570BA"/>
    <w:rsid w:val="00C97D62"/>
    <w:rsid w:val="00CA787E"/>
    <w:rsid w:val="00CD0DA5"/>
    <w:rsid w:val="00CD2C84"/>
    <w:rsid w:val="00CE4B28"/>
    <w:rsid w:val="00D067B3"/>
    <w:rsid w:val="00D36891"/>
    <w:rsid w:val="00D424FD"/>
    <w:rsid w:val="00D56F6F"/>
    <w:rsid w:val="00D570E8"/>
    <w:rsid w:val="00DC0DBF"/>
    <w:rsid w:val="00DF47ED"/>
    <w:rsid w:val="00E405BE"/>
    <w:rsid w:val="00EE6425"/>
    <w:rsid w:val="00F130F6"/>
    <w:rsid w:val="00F70B08"/>
    <w:rsid w:val="00F81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B775EB"/>
  <w15:chartTrackingRefBased/>
  <w15:docId w15:val="{0C047AE5-C296-4272-94D7-EA980D55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7D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42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0BA"/>
  </w:style>
  <w:style w:type="paragraph" w:styleId="Footer">
    <w:name w:val="footer"/>
    <w:basedOn w:val="Normal"/>
    <w:link w:val="FooterChar"/>
    <w:uiPriority w:val="99"/>
    <w:unhideWhenUsed/>
    <w:rsid w:val="00C57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0BA"/>
  </w:style>
  <w:style w:type="table" w:styleId="TableGrid">
    <w:name w:val="Table Grid"/>
    <w:basedOn w:val="TableNormal"/>
    <w:uiPriority w:val="39"/>
    <w:rsid w:val="00C57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7D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D42B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D42BB"/>
    <w:pPr>
      <w:ind w:left="720"/>
      <w:contextualSpacing/>
    </w:pPr>
  </w:style>
  <w:style w:type="paragraph" w:styleId="BodyText">
    <w:name w:val="Body Text"/>
    <w:basedOn w:val="Normal"/>
    <w:link w:val="BodyTextChar"/>
    <w:rsid w:val="00155C88"/>
    <w:pPr>
      <w:suppressAutoHyphens/>
      <w:spacing w:after="120" w:line="240" w:lineRule="auto"/>
    </w:pPr>
    <w:rPr>
      <w:rFonts w:ascii="Californian FB" w:eastAsia="Times New Roman" w:hAnsi="Californian FB" w:cs="Times New Roman"/>
      <w:szCs w:val="24"/>
      <w:lang w:val="en-US" w:eastAsia="ar-SA"/>
    </w:rPr>
  </w:style>
  <w:style w:type="character" w:customStyle="1" w:styleId="BodyTextChar">
    <w:name w:val="Body Text Char"/>
    <w:basedOn w:val="DefaultParagraphFont"/>
    <w:link w:val="BodyText"/>
    <w:rsid w:val="00155C88"/>
    <w:rPr>
      <w:rFonts w:ascii="Californian FB" w:eastAsia="Times New Roman" w:hAnsi="Californian FB" w:cs="Times New Roman"/>
      <w:szCs w:val="24"/>
      <w:lang w:val="en-US" w:eastAsia="ar-SA"/>
    </w:rPr>
  </w:style>
  <w:style w:type="paragraph" w:customStyle="1" w:styleId="Default">
    <w:name w:val="Default"/>
    <w:rsid w:val="00155C88"/>
    <w:pPr>
      <w:autoSpaceDE w:val="0"/>
      <w:autoSpaceDN w:val="0"/>
      <w:adjustRightInd w:val="0"/>
      <w:spacing w:after="0" w:line="240" w:lineRule="auto"/>
    </w:pPr>
    <w:rPr>
      <w:rFonts w:ascii="GillSans Light" w:eastAsia="Times New Roman" w:hAnsi="GillSans Light" w:cs="GillSans Light"/>
      <w:color w:val="000000"/>
      <w:sz w:val="24"/>
      <w:szCs w:val="24"/>
      <w:lang w:eastAsia="en-GB"/>
    </w:rPr>
  </w:style>
  <w:style w:type="character" w:styleId="CommentReference">
    <w:name w:val="annotation reference"/>
    <w:basedOn w:val="DefaultParagraphFont"/>
    <w:uiPriority w:val="99"/>
    <w:semiHidden/>
    <w:unhideWhenUsed/>
    <w:rsid w:val="00D36891"/>
    <w:rPr>
      <w:sz w:val="16"/>
      <w:szCs w:val="16"/>
    </w:rPr>
  </w:style>
  <w:style w:type="paragraph" w:styleId="CommentText">
    <w:name w:val="annotation text"/>
    <w:basedOn w:val="Normal"/>
    <w:link w:val="CommentTextChar"/>
    <w:uiPriority w:val="99"/>
    <w:semiHidden/>
    <w:unhideWhenUsed/>
    <w:rsid w:val="00D36891"/>
    <w:pPr>
      <w:spacing w:line="240" w:lineRule="auto"/>
    </w:pPr>
    <w:rPr>
      <w:sz w:val="20"/>
      <w:szCs w:val="20"/>
    </w:rPr>
  </w:style>
  <w:style w:type="character" w:customStyle="1" w:styleId="CommentTextChar">
    <w:name w:val="Comment Text Char"/>
    <w:basedOn w:val="DefaultParagraphFont"/>
    <w:link w:val="CommentText"/>
    <w:uiPriority w:val="99"/>
    <w:semiHidden/>
    <w:rsid w:val="00D36891"/>
    <w:rPr>
      <w:sz w:val="20"/>
      <w:szCs w:val="20"/>
    </w:rPr>
  </w:style>
  <w:style w:type="paragraph" w:styleId="CommentSubject">
    <w:name w:val="annotation subject"/>
    <w:basedOn w:val="CommentText"/>
    <w:next w:val="CommentText"/>
    <w:link w:val="CommentSubjectChar"/>
    <w:uiPriority w:val="99"/>
    <w:semiHidden/>
    <w:unhideWhenUsed/>
    <w:rsid w:val="00D36891"/>
    <w:rPr>
      <w:b/>
      <w:bCs/>
    </w:rPr>
  </w:style>
  <w:style w:type="character" w:customStyle="1" w:styleId="CommentSubjectChar">
    <w:name w:val="Comment Subject Char"/>
    <w:basedOn w:val="CommentTextChar"/>
    <w:link w:val="CommentSubject"/>
    <w:uiPriority w:val="99"/>
    <w:semiHidden/>
    <w:rsid w:val="00D36891"/>
    <w:rPr>
      <w:b/>
      <w:bCs/>
      <w:sz w:val="20"/>
      <w:szCs w:val="20"/>
    </w:rPr>
  </w:style>
  <w:style w:type="paragraph" w:styleId="BalloonText">
    <w:name w:val="Balloon Text"/>
    <w:basedOn w:val="Normal"/>
    <w:link w:val="BalloonTextChar"/>
    <w:uiPriority w:val="99"/>
    <w:semiHidden/>
    <w:unhideWhenUsed/>
    <w:rsid w:val="00D36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891"/>
    <w:rPr>
      <w:rFonts w:ascii="Segoe UI" w:hAnsi="Segoe UI" w:cs="Segoe UI"/>
      <w:sz w:val="18"/>
      <w:szCs w:val="18"/>
    </w:rPr>
  </w:style>
  <w:style w:type="character" w:styleId="Hyperlink">
    <w:name w:val="Hyperlink"/>
    <w:basedOn w:val="DefaultParagraphFont"/>
    <w:uiPriority w:val="99"/>
    <w:unhideWhenUsed/>
    <w:rsid w:val="00504629"/>
    <w:rPr>
      <w:color w:val="0563C1" w:themeColor="hyperlink"/>
      <w:u w:val="single"/>
    </w:rPr>
  </w:style>
  <w:style w:type="paragraph" w:styleId="NoSpacing">
    <w:name w:val="No Spacing"/>
    <w:uiPriority w:val="1"/>
    <w:qFormat/>
    <w:rsid w:val="00DF47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islation.gov.uk/ukpga/1997/40/contents"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8C18-8BE8-404E-8CC5-E09F571F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Etchell-Anderson</dc:creator>
  <cp:keywords/>
  <dc:description/>
  <cp:lastModifiedBy>Jennifer Cressey</cp:lastModifiedBy>
  <cp:revision>10</cp:revision>
  <dcterms:created xsi:type="dcterms:W3CDTF">2023-08-18T15:23:00Z</dcterms:created>
  <dcterms:modified xsi:type="dcterms:W3CDTF">2023-09-27T15:24:00Z</dcterms:modified>
</cp:coreProperties>
</file>